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Pr="00695A2F" w:rsidRDefault="00AB758C">
      <w:pPr>
        <w:rPr>
          <w:rFonts w:cs="Arial"/>
          <w:b/>
        </w:rPr>
      </w:pPr>
      <w:r w:rsidRPr="00695A2F">
        <w:rPr>
          <w:rFonts w:cs="Arial"/>
          <w:b/>
        </w:rPr>
        <w:t>Pension Fund Committee</w:t>
      </w:r>
    </w:p>
    <w:p w:rsidR="003E6A45" w:rsidRPr="00695A2F" w:rsidRDefault="003E6A45">
      <w:pPr>
        <w:rPr>
          <w:rFonts w:cs="Arial"/>
        </w:rPr>
      </w:pPr>
      <w:r w:rsidRPr="00695A2F">
        <w:rPr>
          <w:rFonts w:cs="Arial"/>
        </w:rPr>
        <w:t xml:space="preserve">Meeting to be held on </w:t>
      </w:r>
      <w:r w:rsidR="00AB758C" w:rsidRPr="00695A2F">
        <w:rPr>
          <w:rFonts w:cs="Arial"/>
        </w:rPr>
        <w:t>27 March 2014</w:t>
      </w:r>
    </w:p>
    <w:p w:rsidR="003E6A45" w:rsidRPr="00695A2F" w:rsidRDefault="003E6A45">
      <w:pPr>
        <w:rPr>
          <w:rFonts w:cs="Arial"/>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rsidRPr="00695A2F">
        <w:tc>
          <w:tcPr>
            <w:tcW w:w="3260" w:type="dxa"/>
          </w:tcPr>
          <w:p w:rsidR="003E6A45" w:rsidRPr="00695A2F" w:rsidRDefault="003E6A45">
            <w:pPr>
              <w:pStyle w:val="BodyText"/>
              <w:rPr>
                <w:rFonts w:cs="Arial"/>
              </w:rPr>
            </w:pPr>
            <w:r w:rsidRPr="00695A2F">
              <w:rPr>
                <w:rFonts w:cs="Arial"/>
              </w:rPr>
              <w:t>Electoral Division affected:</w:t>
            </w:r>
          </w:p>
          <w:p w:rsidR="003E6A45" w:rsidRPr="00695A2F" w:rsidRDefault="00AB758C">
            <w:pPr>
              <w:rPr>
                <w:rFonts w:cs="Arial"/>
                <w:u w:val="single"/>
              </w:rPr>
            </w:pPr>
            <w:r w:rsidRPr="00695A2F">
              <w:rPr>
                <w:rFonts w:cs="Arial"/>
              </w:rPr>
              <w:t>None</w:t>
            </w:r>
          </w:p>
        </w:tc>
      </w:tr>
    </w:tbl>
    <w:p w:rsidR="003E6A45" w:rsidRPr="00695A2F" w:rsidRDefault="003E6A45">
      <w:pPr>
        <w:rPr>
          <w:rFonts w:cs="Arial"/>
          <w:u w:val="single"/>
        </w:rPr>
      </w:pPr>
    </w:p>
    <w:p w:rsidR="003E6A45" w:rsidRPr="00695A2F" w:rsidRDefault="00AB758C">
      <w:pPr>
        <w:rPr>
          <w:rFonts w:cs="Arial"/>
          <w:b/>
        </w:rPr>
      </w:pPr>
      <w:r w:rsidRPr="00695A2F">
        <w:rPr>
          <w:rFonts w:cs="Arial"/>
          <w:b/>
        </w:rPr>
        <w:t>Funding Strategy Statement and Statement of Investment Principles</w:t>
      </w:r>
    </w:p>
    <w:p w:rsidR="003E6A45" w:rsidRPr="00695A2F" w:rsidRDefault="00EA6A24">
      <w:pPr>
        <w:ind w:left="709" w:hanging="709"/>
        <w:rPr>
          <w:rFonts w:cs="Arial"/>
        </w:rPr>
      </w:pPr>
      <w:r>
        <w:rPr>
          <w:rFonts w:cs="Arial"/>
        </w:rPr>
        <w:t>(</w:t>
      </w:r>
      <w:r w:rsidR="00AB758C" w:rsidRPr="00695A2F">
        <w:rPr>
          <w:rFonts w:cs="Arial"/>
        </w:rPr>
        <w:t>Appendices 'A' and 'B' refer</w:t>
      </w:r>
      <w:r>
        <w:rPr>
          <w:rFonts w:cs="Arial"/>
        </w:rPr>
        <w:t>)</w:t>
      </w:r>
    </w:p>
    <w:p w:rsidR="003E6A45" w:rsidRPr="00695A2F" w:rsidRDefault="003E6A45">
      <w:pPr>
        <w:rPr>
          <w:rFonts w:cs="Arial"/>
        </w:rPr>
      </w:pPr>
    </w:p>
    <w:p w:rsidR="003E6A45" w:rsidRPr="00695A2F" w:rsidRDefault="003E6A45">
      <w:pPr>
        <w:rPr>
          <w:rFonts w:cs="Arial"/>
        </w:rPr>
      </w:pPr>
      <w:r w:rsidRPr="00695A2F">
        <w:rPr>
          <w:rFonts w:cs="Arial"/>
        </w:rPr>
        <w:t>Contact for further information:</w:t>
      </w:r>
    </w:p>
    <w:p w:rsidR="003E6A45" w:rsidRPr="00695A2F" w:rsidRDefault="00AB758C">
      <w:pPr>
        <w:rPr>
          <w:rFonts w:cs="Arial"/>
        </w:rPr>
      </w:pPr>
      <w:r w:rsidRPr="00695A2F">
        <w:rPr>
          <w:rFonts w:cs="Arial"/>
        </w:rPr>
        <w:t>George Graham, (01772) 538102</w:t>
      </w:r>
      <w:r w:rsidR="003E6A45" w:rsidRPr="00695A2F">
        <w:rPr>
          <w:rFonts w:cs="Arial"/>
        </w:rPr>
        <w:t xml:space="preserve">, </w:t>
      </w:r>
      <w:r w:rsidR="00F861F0" w:rsidRPr="00695A2F">
        <w:rPr>
          <w:rFonts w:cs="Arial"/>
        </w:rPr>
        <w:t xml:space="preserve">County Treasurer's </w:t>
      </w:r>
      <w:r w:rsidR="00EA6A24">
        <w:rPr>
          <w:rFonts w:cs="Arial"/>
        </w:rPr>
        <w:t>Department</w:t>
      </w:r>
    </w:p>
    <w:p w:rsidR="00772BBA" w:rsidRPr="00695A2F" w:rsidRDefault="00A114B4">
      <w:pPr>
        <w:rPr>
          <w:rFonts w:cs="Arial"/>
        </w:rPr>
      </w:pPr>
      <w:hyperlink r:id="rId7" w:history="1">
        <w:r w:rsidR="00BF1C96" w:rsidRPr="00725E0D">
          <w:rPr>
            <w:rStyle w:val="Hyperlink"/>
            <w:rFonts w:cs="Arial"/>
          </w:rPr>
          <w:t>george.graham@lancashire.gov.uk</w:t>
        </w:r>
      </w:hyperlink>
      <w:r w:rsidR="00BF1C96">
        <w:rPr>
          <w:rFonts w:cs="Arial"/>
        </w:rPr>
        <w:t xml:space="preserve"> </w:t>
      </w:r>
    </w:p>
    <w:p w:rsidR="003E6A45" w:rsidRPr="00695A2F" w:rsidRDefault="003E6A45">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rsidRPr="00695A2F">
        <w:tc>
          <w:tcPr>
            <w:tcW w:w="9180" w:type="dxa"/>
          </w:tcPr>
          <w:p w:rsidR="003E6A45" w:rsidRPr="00695A2F" w:rsidRDefault="003E6A45">
            <w:pPr>
              <w:pStyle w:val="Header"/>
              <w:rPr>
                <w:rFonts w:cs="Arial"/>
              </w:rPr>
            </w:pPr>
          </w:p>
          <w:p w:rsidR="003E6A45" w:rsidRPr="00695A2F" w:rsidRDefault="003E6A45">
            <w:pPr>
              <w:pStyle w:val="Heading6"/>
              <w:rPr>
                <w:rFonts w:ascii="Arial" w:hAnsi="Arial" w:cs="Arial"/>
              </w:rPr>
            </w:pPr>
            <w:r w:rsidRPr="00695A2F">
              <w:rPr>
                <w:rFonts w:ascii="Arial" w:hAnsi="Arial" w:cs="Arial"/>
              </w:rPr>
              <w:t>Executive Summary</w:t>
            </w:r>
          </w:p>
          <w:p w:rsidR="003E6A45" w:rsidRPr="00695A2F" w:rsidRDefault="003E6A45">
            <w:pPr>
              <w:rPr>
                <w:rFonts w:cs="Arial"/>
              </w:rPr>
            </w:pPr>
          </w:p>
          <w:p w:rsidR="00FD0946" w:rsidRPr="00695A2F" w:rsidRDefault="00FD0946" w:rsidP="00EA6A24">
            <w:pPr>
              <w:autoSpaceDE w:val="0"/>
              <w:autoSpaceDN w:val="0"/>
              <w:adjustRightInd w:val="0"/>
              <w:rPr>
                <w:rFonts w:cs="Arial"/>
                <w:szCs w:val="24"/>
              </w:rPr>
            </w:pPr>
            <w:r w:rsidRPr="00695A2F">
              <w:rPr>
                <w:rFonts w:cs="Arial"/>
                <w:szCs w:val="24"/>
              </w:rPr>
              <w:t>This report sets out the Fund's revised Funding Strategy Statement following the</w:t>
            </w:r>
          </w:p>
          <w:p w:rsidR="00FD0946" w:rsidRPr="00695A2F" w:rsidRDefault="00FD0946" w:rsidP="00EA6A24">
            <w:pPr>
              <w:autoSpaceDE w:val="0"/>
              <w:autoSpaceDN w:val="0"/>
              <w:adjustRightInd w:val="0"/>
              <w:rPr>
                <w:rFonts w:cs="Arial"/>
                <w:szCs w:val="24"/>
              </w:rPr>
            </w:pPr>
            <w:r w:rsidRPr="00695A2F">
              <w:rPr>
                <w:rFonts w:cs="Arial"/>
                <w:szCs w:val="24"/>
              </w:rPr>
              <w:t>results of the 2013 formal actuarial valuation of the Fund as noted by the Committee</w:t>
            </w:r>
          </w:p>
          <w:p w:rsidR="003E6A45" w:rsidRPr="00695A2F" w:rsidRDefault="00FD0946" w:rsidP="00EA6A24">
            <w:pPr>
              <w:rPr>
                <w:rFonts w:cs="Arial"/>
                <w:szCs w:val="24"/>
              </w:rPr>
            </w:pPr>
            <w:proofErr w:type="gramStart"/>
            <w:r w:rsidRPr="00695A2F">
              <w:rPr>
                <w:rFonts w:cs="Arial"/>
                <w:szCs w:val="24"/>
              </w:rPr>
              <w:t>at</w:t>
            </w:r>
            <w:proofErr w:type="gramEnd"/>
            <w:r w:rsidRPr="00695A2F">
              <w:rPr>
                <w:rFonts w:cs="Arial"/>
                <w:szCs w:val="24"/>
              </w:rPr>
              <w:t xml:space="preserve"> </w:t>
            </w:r>
            <w:r w:rsidR="00881D81" w:rsidRPr="00695A2F">
              <w:rPr>
                <w:rFonts w:cs="Arial"/>
                <w:szCs w:val="24"/>
              </w:rPr>
              <w:t xml:space="preserve">its </w:t>
            </w:r>
            <w:r w:rsidRPr="00695A2F">
              <w:rPr>
                <w:rFonts w:cs="Arial"/>
                <w:szCs w:val="24"/>
              </w:rPr>
              <w:t>meeting of 29 November 2013.</w:t>
            </w:r>
          </w:p>
          <w:p w:rsidR="00FD0946" w:rsidRPr="00695A2F" w:rsidRDefault="00FD0946" w:rsidP="00EA6A24">
            <w:pPr>
              <w:rPr>
                <w:rFonts w:cs="Arial"/>
                <w:szCs w:val="24"/>
              </w:rPr>
            </w:pPr>
          </w:p>
          <w:p w:rsidR="00FD0946" w:rsidRPr="00695A2F" w:rsidRDefault="00FD0946" w:rsidP="00EA6A24">
            <w:pPr>
              <w:rPr>
                <w:rFonts w:cs="Arial"/>
              </w:rPr>
            </w:pPr>
            <w:r w:rsidRPr="00695A2F">
              <w:rPr>
                <w:rFonts w:cs="Arial"/>
                <w:szCs w:val="24"/>
              </w:rPr>
              <w:t>The revised Funding Strategy Statement incorporates the requirements set out in the Fund's Statement of Investment Principles, which itself has been updated to reflect the changes to specific investment strategies relating to particular asset classes, previously approved by the Pension Fund Committee.</w:t>
            </w:r>
          </w:p>
          <w:p w:rsidR="003E6A45" w:rsidRPr="00695A2F" w:rsidRDefault="003E6A45" w:rsidP="00EA6A24">
            <w:pPr>
              <w:rPr>
                <w:rFonts w:cs="Arial"/>
              </w:rPr>
            </w:pPr>
          </w:p>
          <w:p w:rsidR="003E6A45" w:rsidRPr="00695A2F" w:rsidRDefault="003E6A45" w:rsidP="00EA6A24">
            <w:pPr>
              <w:pStyle w:val="Heading5"/>
              <w:rPr>
                <w:rFonts w:ascii="Arial" w:hAnsi="Arial" w:cs="Arial"/>
                <w:b w:val="0"/>
                <w:u w:val="none"/>
              </w:rPr>
            </w:pPr>
            <w:r w:rsidRPr="00695A2F">
              <w:rPr>
                <w:rFonts w:ascii="Arial" w:hAnsi="Arial" w:cs="Arial"/>
                <w:u w:val="none"/>
              </w:rPr>
              <w:t>Recommendation</w:t>
            </w:r>
          </w:p>
          <w:p w:rsidR="003E6A45" w:rsidRPr="00695A2F" w:rsidRDefault="003E6A45" w:rsidP="00EA6A24">
            <w:pPr>
              <w:rPr>
                <w:rFonts w:cs="Arial"/>
              </w:rPr>
            </w:pPr>
          </w:p>
          <w:p w:rsidR="00F02FF7" w:rsidRDefault="00D52B8F" w:rsidP="00EA6A24">
            <w:pPr>
              <w:rPr>
                <w:rFonts w:cs="Arial"/>
              </w:rPr>
            </w:pPr>
            <w:r w:rsidRPr="00695A2F">
              <w:rPr>
                <w:rFonts w:cs="Arial"/>
              </w:rPr>
              <w:t>The Committee is requested to approve</w:t>
            </w:r>
            <w:r w:rsidR="00F02FF7" w:rsidRPr="00695A2F">
              <w:rPr>
                <w:rFonts w:cs="Arial"/>
              </w:rPr>
              <w:t>:</w:t>
            </w:r>
          </w:p>
          <w:p w:rsidR="00EA6A24" w:rsidRDefault="00EA6A24" w:rsidP="00EA6A24">
            <w:pPr>
              <w:rPr>
                <w:rFonts w:cs="Arial"/>
              </w:rPr>
            </w:pPr>
          </w:p>
          <w:p w:rsidR="003E6A45" w:rsidRDefault="00D52B8F" w:rsidP="00EA6A24">
            <w:pPr>
              <w:numPr>
                <w:ilvl w:val="0"/>
                <w:numId w:val="9"/>
              </w:numPr>
              <w:ind w:left="567" w:hanging="567"/>
              <w:rPr>
                <w:rFonts w:cs="Arial"/>
              </w:rPr>
            </w:pPr>
            <w:r w:rsidRPr="00695A2F">
              <w:rPr>
                <w:rFonts w:cs="Arial"/>
              </w:rPr>
              <w:t xml:space="preserve"> </w:t>
            </w:r>
            <w:proofErr w:type="gramStart"/>
            <w:r w:rsidRPr="00695A2F">
              <w:rPr>
                <w:rFonts w:cs="Arial"/>
              </w:rPr>
              <w:t>the</w:t>
            </w:r>
            <w:proofErr w:type="gramEnd"/>
            <w:r w:rsidRPr="00695A2F">
              <w:rPr>
                <w:rFonts w:cs="Arial"/>
              </w:rPr>
              <w:t xml:space="preserve"> revised Funding Strategy Statement</w:t>
            </w:r>
            <w:r w:rsidR="00F75B7E">
              <w:rPr>
                <w:rFonts w:cs="Arial"/>
              </w:rPr>
              <w:t>, as set out at Appendix 'A'</w:t>
            </w:r>
            <w:r w:rsidRPr="00695A2F">
              <w:rPr>
                <w:rFonts w:cs="Arial"/>
              </w:rPr>
              <w:t>.</w:t>
            </w:r>
          </w:p>
          <w:p w:rsidR="00EA6A24" w:rsidRPr="00695A2F" w:rsidRDefault="00EA6A24" w:rsidP="00EA6A24">
            <w:pPr>
              <w:ind w:left="567"/>
              <w:rPr>
                <w:rFonts w:cs="Arial"/>
              </w:rPr>
            </w:pPr>
          </w:p>
          <w:p w:rsidR="00F02FF7" w:rsidRPr="00695A2F" w:rsidRDefault="00113FCB" w:rsidP="00EA6A24">
            <w:pPr>
              <w:numPr>
                <w:ilvl w:val="0"/>
                <w:numId w:val="9"/>
              </w:numPr>
              <w:ind w:left="567" w:hanging="567"/>
              <w:rPr>
                <w:rFonts w:cs="Arial"/>
              </w:rPr>
            </w:pPr>
            <w:r w:rsidRPr="00695A2F">
              <w:rPr>
                <w:rFonts w:cs="Arial"/>
              </w:rPr>
              <w:t xml:space="preserve"> </w:t>
            </w:r>
            <w:proofErr w:type="gramStart"/>
            <w:r w:rsidR="00F02FF7" w:rsidRPr="00695A2F">
              <w:rPr>
                <w:rFonts w:cs="Arial"/>
              </w:rPr>
              <w:t>the</w:t>
            </w:r>
            <w:proofErr w:type="gramEnd"/>
            <w:r w:rsidR="00F02FF7" w:rsidRPr="00695A2F">
              <w:rPr>
                <w:rFonts w:cs="Arial"/>
              </w:rPr>
              <w:t xml:space="preserve"> revised Statement of Investment Principles</w:t>
            </w:r>
            <w:r w:rsidR="00F75B7E">
              <w:rPr>
                <w:rFonts w:cs="Arial"/>
              </w:rPr>
              <w:t>, as set out at Appendix 'B'</w:t>
            </w:r>
            <w:r w:rsidR="00F02FF7" w:rsidRPr="00695A2F">
              <w:rPr>
                <w:rFonts w:cs="Arial"/>
              </w:rPr>
              <w:t>.</w:t>
            </w:r>
          </w:p>
          <w:p w:rsidR="003E6A45" w:rsidRPr="00695A2F" w:rsidRDefault="003E6A45">
            <w:pPr>
              <w:rPr>
                <w:rFonts w:cs="Arial"/>
              </w:rPr>
            </w:pPr>
          </w:p>
        </w:tc>
      </w:tr>
    </w:tbl>
    <w:p w:rsidR="003E6A45" w:rsidRPr="00695A2F" w:rsidRDefault="003E6A45">
      <w:pPr>
        <w:pStyle w:val="Header"/>
        <w:rPr>
          <w:rFonts w:cs="Arial"/>
        </w:rPr>
      </w:pPr>
    </w:p>
    <w:p w:rsidR="00772BBA" w:rsidRPr="00695A2F" w:rsidRDefault="00772BBA" w:rsidP="00772BBA">
      <w:pPr>
        <w:rPr>
          <w:rFonts w:cs="Arial"/>
          <w:b/>
        </w:rPr>
      </w:pPr>
      <w:r w:rsidRPr="00695A2F">
        <w:rPr>
          <w:rFonts w:cs="Arial"/>
          <w:b/>
        </w:rPr>
        <w:t xml:space="preserve">Background and Advice </w:t>
      </w:r>
    </w:p>
    <w:p w:rsidR="00533B69" w:rsidRPr="00695A2F" w:rsidRDefault="00533B69" w:rsidP="00533B69">
      <w:pPr>
        <w:rPr>
          <w:rFonts w:cs="Arial"/>
        </w:rPr>
      </w:pPr>
    </w:p>
    <w:p w:rsidR="00533B69" w:rsidRPr="00695A2F" w:rsidRDefault="00533B69" w:rsidP="00EA6A24">
      <w:pPr>
        <w:rPr>
          <w:rFonts w:cs="Arial"/>
        </w:rPr>
      </w:pPr>
      <w:r w:rsidRPr="00695A2F">
        <w:rPr>
          <w:rFonts w:cs="Arial"/>
        </w:rPr>
        <w:t>All Local Government Pension Scheme funds in England and Wales are required to publish a Funding Strategy Statement (</w:t>
      </w:r>
      <w:proofErr w:type="spellStart"/>
      <w:r w:rsidRPr="00695A2F">
        <w:rPr>
          <w:rFonts w:cs="Arial"/>
        </w:rPr>
        <w:t>FSS</w:t>
      </w:r>
      <w:proofErr w:type="spellEnd"/>
      <w:r w:rsidRPr="00695A2F">
        <w:rPr>
          <w:rFonts w:cs="Arial"/>
        </w:rPr>
        <w:t xml:space="preserve">) in accordance with the Local Government Pension Scheme (Administration) Regulations 2008. </w:t>
      </w:r>
    </w:p>
    <w:p w:rsidR="00533B69" w:rsidRPr="00695A2F" w:rsidRDefault="00533B69" w:rsidP="00EA6A24">
      <w:pPr>
        <w:ind w:left="720"/>
        <w:rPr>
          <w:rFonts w:cs="Arial"/>
        </w:rPr>
      </w:pPr>
    </w:p>
    <w:p w:rsidR="00533B69" w:rsidRPr="00695A2F" w:rsidRDefault="00533B69" w:rsidP="00EA6A24">
      <w:pPr>
        <w:rPr>
          <w:rFonts w:cs="Arial"/>
        </w:rPr>
      </w:pPr>
      <w:r w:rsidRPr="00695A2F">
        <w:rPr>
          <w:rFonts w:cs="Arial"/>
        </w:rPr>
        <w:t>Lancashire County Council, as administering authority of Lancashire County Pension Fund, is required to prepare and publish its funding strategy after consultation with all relevant interested parties involved with the Fund – such as local authority employers; admitted bodies; and scheduled/ resolution bodies.</w:t>
      </w:r>
    </w:p>
    <w:p w:rsidR="00EA6A24" w:rsidRPr="00695A2F" w:rsidRDefault="00EA6A24" w:rsidP="00EA6A24">
      <w:pPr>
        <w:ind w:left="720" w:hanging="720"/>
        <w:rPr>
          <w:rFonts w:cs="Arial"/>
        </w:rPr>
      </w:pPr>
    </w:p>
    <w:p w:rsidR="00695A2F" w:rsidRDefault="00695A2F" w:rsidP="00EA6A24">
      <w:pPr>
        <w:autoSpaceDE w:val="0"/>
        <w:autoSpaceDN w:val="0"/>
        <w:adjustRightInd w:val="0"/>
        <w:rPr>
          <w:rFonts w:ascii="TT20F141o00" w:hAnsi="TT20F141o00" w:cs="TT20F141o00"/>
          <w:szCs w:val="24"/>
        </w:rPr>
      </w:pPr>
      <w:r>
        <w:rPr>
          <w:rFonts w:ascii="TT20F141o00" w:hAnsi="TT20F141o00" w:cs="TT20F141o00"/>
          <w:szCs w:val="24"/>
        </w:rPr>
        <w:t>To comply with the Local Government Pension Scheme (Management and</w:t>
      </w:r>
    </w:p>
    <w:p w:rsidR="00695A2F" w:rsidRDefault="00695A2F" w:rsidP="00EA6A24">
      <w:pPr>
        <w:rPr>
          <w:rFonts w:cs="Arial"/>
        </w:rPr>
      </w:pPr>
      <w:r w:rsidRPr="00695A2F">
        <w:rPr>
          <w:rFonts w:cs="Arial"/>
        </w:rPr>
        <w:t>Investment of Funds) Regulations 2009, the Pension Fund’s Statement of Investment Principles (SIP) must be reviewed and, if necessary, revised from time to time (and within 6 months of any material change).</w:t>
      </w:r>
    </w:p>
    <w:p w:rsidR="00695A2F" w:rsidRPr="00695A2F" w:rsidRDefault="00695A2F" w:rsidP="00EA6A24">
      <w:pPr>
        <w:ind w:left="720"/>
        <w:rPr>
          <w:rFonts w:cs="Arial"/>
        </w:rPr>
      </w:pPr>
    </w:p>
    <w:p w:rsidR="00695A2F" w:rsidRPr="00695A2F" w:rsidRDefault="00695A2F" w:rsidP="00EA6A24">
      <w:pPr>
        <w:autoSpaceDE w:val="0"/>
        <w:autoSpaceDN w:val="0"/>
        <w:adjustRightInd w:val="0"/>
        <w:rPr>
          <w:rFonts w:cs="Arial"/>
          <w:szCs w:val="24"/>
        </w:rPr>
      </w:pPr>
      <w:r w:rsidRPr="00695A2F">
        <w:rPr>
          <w:rFonts w:cs="Arial"/>
          <w:szCs w:val="24"/>
        </w:rPr>
        <w:t>The S</w:t>
      </w:r>
      <w:r w:rsidR="00482034">
        <w:rPr>
          <w:rFonts w:cs="Arial"/>
          <w:szCs w:val="24"/>
        </w:rPr>
        <w:t>IP</w:t>
      </w:r>
      <w:r w:rsidRPr="00695A2F">
        <w:rPr>
          <w:rFonts w:cs="Arial"/>
          <w:szCs w:val="24"/>
        </w:rPr>
        <w:t xml:space="preserve"> describes the high-level principles</w:t>
      </w:r>
      <w:r>
        <w:rPr>
          <w:rFonts w:cs="Arial"/>
          <w:szCs w:val="24"/>
        </w:rPr>
        <w:t xml:space="preserve"> </w:t>
      </w:r>
      <w:r w:rsidRPr="00695A2F">
        <w:rPr>
          <w:rFonts w:cs="Arial"/>
          <w:szCs w:val="24"/>
        </w:rPr>
        <w:t xml:space="preserve">governing the investment decision-making and management of the Pension Fund and the policy that has been developed to ensure their implementation. The revised Funding Strategy Statement incorporates the requirements set out in the Fund's Statement of Investment Principles, which itself has been updated </w:t>
      </w:r>
      <w:r w:rsidR="00B335AE">
        <w:rPr>
          <w:rFonts w:cs="Arial"/>
          <w:szCs w:val="24"/>
        </w:rPr>
        <w:t xml:space="preserve">(Appendix 'B') </w:t>
      </w:r>
      <w:r w:rsidRPr="00695A2F">
        <w:rPr>
          <w:rFonts w:cs="Arial"/>
          <w:szCs w:val="24"/>
        </w:rPr>
        <w:t>to reflect the changes to specific investment strategies relating to particular asset classes, previously approved by the Pension Fund Committee.</w:t>
      </w:r>
    </w:p>
    <w:p w:rsidR="003D5EAE" w:rsidRPr="00695A2F" w:rsidRDefault="003D5EAE" w:rsidP="00EA6A24">
      <w:pPr>
        <w:ind w:left="720"/>
        <w:rPr>
          <w:rFonts w:cs="Arial"/>
          <w:b/>
          <w:color w:val="FF0000"/>
        </w:rPr>
      </w:pPr>
    </w:p>
    <w:p w:rsidR="00533B69" w:rsidRPr="00695A2F" w:rsidRDefault="00533B69" w:rsidP="00EA6A24">
      <w:pPr>
        <w:pStyle w:val="Heading1"/>
        <w:rPr>
          <w:rFonts w:cs="Arial"/>
        </w:rPr>
      </w:pPr>
      <w:r w:rsidRPr="00695A2F">
        <w:rPr>
          <w:rFonts w:cs="Arial"/>
        </w:rPr>
        <w:t>Purpose of the F</w:t>
      </w:r>
      <w:r w:rsidR="0059721A" w:rsidRPr="00695A2F">
        <w:rPr>
          <w:rFonts w:cs="Arial"/>
        </w:rPr>
        <w:t xml:space="preserve">unding </w:t>
      </w:r>
      <w:r w:rsidRPr="00695A2F">
        <w:rPr>
          <w:rFonts w:cs="Arial"/>
        </w:rPr>
        <w:t>S</w:t>
      </w:r>
      <w:r w:rsidR="0059721A" w:rsidRPr="00695A2F">
        <w:rPr>
          <w:rFonts w:cs="Arial"/>
        </w:rPr>
        <w:t xml:space="preserve">trategy </w:t>
      </w:r>
      <w:r w:rsidRPr="00695A2F">
        <w:rPr>
          <w:rFonts w:cs="Arial"/>
        </w:rPr>
        <w:t>S</w:t>
      </w:r>
      <w:r w:rsidR="0059721A" w:rsidRPr="00695A2F">
        <w:rPr>
          <w:rFonts w:cs="Arial"/>
        </w:rPr>
        <w:t>tatement (</w:t>
      </w:r>
      <w:proofErr w:type="spellStart"/>
      <w:r w:rsidR="0059721A" w:rsidRPr="00695A2F">
        <w:rPr>
          <w:rFonts w:cs="Arial"/>
        </w:rPr>
        <w:t>FSS</w:t>
      </w:r>
      <w:proofErr w:type="spellEnd"/>
      <w:r w:rsidR="0059721A" w:rsidRPr="00695A2F">
        <w:rPr>
          <w:rFonts w:cs="Arial"/>
        </w:rPr>
        <w:t>)</w:t>
      </w:r>
    </w:p>
    <w:p w:rsidR="00533B69" w:rsidRPr="00695A2F" w:rsidRDefault="00533B69" w:rsidP="00EA6A24">
      <w:pPr>
        <w:rPr>
          <w:rFonts w:cs="Arial"/>
          <w:b/>
        </w:rPr>
      </w:pPr>
    </w:p>
    <w:p w:rsidR="00533B69" w:rsidRPr="00695A2F" w:rsidRDefault="00533B69" w:rsidP="00EA6A24">
      <w:pPr>
        <w:rPr>
          <w:rFonts w:cs="Arial"/>
        </w:rPr>
      </w:pPr>
      <w:r w:rsidRPr="00695A2F">
        <w:rPr>
          <w:rFonts w:cs="Arial"/>
        </w:rPr>
        <w:t xml:space="preserve">The purpose of the </w:t>
      </w:r>
      <w:proofErr w:type="spellStart"/>
      <w:r w:rsidRPr="00695A2F">
        <w:rPr>
          <w:rFonts w:cs="Arial"/>
        </w:rPr>
        <w:t>FSS</w:t>
      </w:r>
      <w:proofErr w:type="spellEnd"/>
      <w:r w:rsidRPr="00695A2F">
        <w:rPr>
          <w:rFonts w:cs="Arial"/>
        </w:rPr>
        <w:t xml:space="preserve"> is:</w:t>
      </w:r>
    </w:p>
    <w:p w:rsidR="00533B69" w:rsidRPr="00695A2F" w:rsidRDefault="00533B69" w:rsidP="00EA6A24">
      <w:pPr>
        <w:rPr>
          <w:rFonts w:cs="Arial"/>
        </w:rPr>
      </w:pPr>
    </w:p>
    <w:p w:rsidR="00533B69" w:rsidRPr="00695A2F" w:rsidRDefault="00533B69" w:rsidP="00EA6A24">
      <w:pPr>
        <w:numPr>
          <w:ilvl w:val="0"/>
          <w:numId w:val="3"/>
        </w:numPr>
        <w:rPr>
          <w:rFonts w:cs="Arial"/>
        </w:rPr>
      </w:pPr>
      <w:r w:rsidRPr="00695A2F">
        <w:rPr>
          <w:rFonts w:cs="Arial"/>
        </w:rPr>
        <w:t>To establish a clear and transparent fund-specific strategy, which will identify how employers pension liabilities are best met going forward.</w:t>
      </w:r>
    </w:p>
    <w:p w:rsidR="00533B69" w:rsidRPr="00695A2F" w:rsidRDefault="00533B69" w:rsidP="00EA6A24">
      <w:pPr>
        <w:numPr>
          <w:ilvl w:val="0"/>
          <w:numId w:val="3"/>
        </w:numPr>
        <w:rPr>
          <w:rFonts w:cs="Arial"/>
        </w:rPr>
      </w:pPr>
      <w:r w:rsidRPr="00695A2F">
        <w:rPr>
          <w:rFonts w:cs="Arial"/>
        </w:rPr>
        <w:t>To support the regulatory requirement to maintain as nearly constant employer contribution rate as possible; and</w:t>
      </w:r>
    </w:p>
    <w:p w:rsidR="00533B69" w:rsidRPr="00695A2F" w:rsidRDefault="00533B69" w:rsidP="00EA6A24">
      <w:pPr>
        <w:numPr>
          <w:ilvl w:val="0"/>
          <w:numId w:val="3"/>
        </w:numPr>
        <w:rPr>
          <w:rFonts w:cs="Arial"/>
        </w:rPr>
      </w:pPr>
      <w:r w:rsidRPr="00695A2F">
        <w:rPr>
          <w:rFonts w:cs="Arial"/>
        </w:rPr>
        <w:t>To take a prudent longer-term view of funding those liabilities.</w:t>
      </w:r>
    </w:p>
    <w:p w:rsidR="00533B69" w:rsidRPr="00695A2F" w:rsidRDefault="00533B69" w:rsidP="00EA6A24">
      <w:pPr>
        <w:rPr>
          <w:rFonts w:cs="Arial"/>
          <w:b/>
        </w:rPr>
      </w:pPr>
    </w:p>
    <w:p w:rsidR="00533B69" w:rsidRPr="00695A2F" w:rsidRDefault="00533B69" w:rsidP="00EA6A24">
      <w:pPr>
        <w:rPr>
          <w:rFonts w:cs="Arial"/>
          <w:b/>
        </w:rPr>
      </w:pPr>
      <w:r w:rsidRPr="00695A2F">
        <w:rPr>
          <w:rFonts w:cs="Arial"/>
          <w:b/>
        </w:rPr>
        <w:t>Legislative Framework</w:t>
      </w:r>
    </w:p>
    <w:p w:rsidR="00533B69" w:rsidRPr="00695A2F" w:rsidRDefault="00533B69" w:rsidP="00EA6A24">
      <w:pPr>
        <w:rPr>
          <w:rFonts w:cs="Arial"/>
        </w:rPr>
      </w:pPr>
    </w:p>
    <w:p w:rsidR="00533B69" w:rsidRPr="00695A2F" w:rsidRDefault="00533B69" w:rsidP="00EA6A24">
      <w:pPr>
        <w:rPr>
          <w:rFonts w:cs="Arial"/>
        </w:rPr>
      </w:pPr>
      <w:r w:rsidRPr="00695A2F">
        <w:rPr>
          <w:rFonts w:cs="Arial"/>
        </w:rPr>
        <w:t>Regulation 35 of the Local Government Pension Scheme (Administration) Regulations 2008 provide</w:t>
      </w:r>
      <w:r w:rsidR="00B2744B" w:rsidRPr="00695A2F">
        <w:rPr>
          <w:rFonts w:cs="Arial"/>
        </w:rPr>
        <w:t>s</w:t>
      </w:r>
      <w:r w:rsidRPr="00695A2F">
        <w:rPr>
          <w:rFonts w:cs="Arial"/>
        </w:rPr>
        <w:t xml:space="preserve"> the statutory framework from which LGPS Administering Authorities are required to prepare their </w:t>
      </w:r>
      <w:proofErr w:type="spellStart"/>
      <w:r w:rsidRPr="00695A2F">
        <w:rPr>
          <w:rFonts w:cs="Arial"/>
        </w:rPr>
        <w:t>FSS</w:t>
      </w:r>
      <w:proofErr w:type="spellEnd"/>
      <w:r w:rsidR="0059721A" w:rsidRPr="00695A2F">
        <w:rPr>
          <w:rFonts w:cs="Arial"/>
        </w:rPr>
        <w:t xml:space="preserve"> having </w:t>
      </w:r>
      <w:proofErr w:type="gramStart"/>
      <w:r w:rsidR="0059721A" w:rsidRPr="00695A2F">
        <w:rPr>
          <w:rFonts w:cs="Arial"/>
        </w:rPr>
        <w:t>regard</w:t>
      </w:r>
      <w:proofErr w:type="gramEnd"/>
      <w:r w:rsidR="0059721A" w:rsidRPr="00695A2F">
        <w:rPr>
          <w:rFonts w:cs="Arial"/>
        </w:rPr>
        <w:t xml:space="preserve"> to:</w:t>
      </w:r>
    </w:p>
    <w:p w:rsidR="00533B69" w:rsidRPr="00695A2F" w:rsidRDefault="00533B69" w:rsidP="00EA6A24">
      <w:pPr>
        <w:rPr>
          <w:rFonts w:cs="Arial"/>
        </w:rPr>
      </w:pPr>
    </w:p>
    <w:p w:rsidR="00533B69" w:rsidRPr="00695A2F" w:rsidRDefault="00533B69" w:rsidP="00EA6A24">
      <w:pPr>
        <w:numPr>
          <w:ilvl w:val="0"/>
          <w:numId w:val="1"/>
        </w:numPr>
        <w:rPr>
          <w:rFonts w:cs="Arial"/>
        </w:rPr>
      </w:pPr>
      <w:proofErr w:type="spellStart"/>
      <w:r w:rsidRPr="00695A2F">
        <w:rPr>
          <w:rFonts w:cs="Arial"/>
        </w:rPr>
        <w:t>CIPFA</w:t>
      </w:r>
      <w:proofErr w:type="spellEnd"/>
      <w:r w:rsidRPr="00695A2F">
        <w:rPr>
          <w:rFonts w:cs="Arial"/>
        </w:rPr>
        <w:t xml:space="preserve"> Pensions Panel “Guidance on Preparing and Maintaining a Funding Strategy Statement</w:t>
      </w:r>
      <w:r w:rsidR="003C286B" w:rsidRPr="00695A2F">
        <w:rPr>
          <w:rFonts w:cs="Arial"/>
        </w:rPr>
        <w:t xml:space="preserve"> 2012</w:t>
      </w:r>
      <w:r w:rsidRPr="00695A2F">
        <w:rPr>
          <w:rFonts w:cs="Arial"/>
        </w:rPr>
        <w:t>”</w:t>
      </w:r>
    </w:p>
    <w:p w:rsidR="00533B69" w:rsidRPr="00695A2F" w:rsidRDefault="00533B69" w:rsidP="00EA6A24">
      <w:pPr>
        <w:numPr>
          <w:ilvl w:val="0"/>
          <w:numId w:val="1"/>
        </w:numPr>
        <w:rPr>
          <w:rFonts w:cs="Arial"/>
        </w:rPr>
      </w:pPr>
      <w:r w:rsidRPr="00695A2F">
        <w:rPr>
          <w:rFonts w:cs="Arial"/>
        </w:rPr>
        <w:t xml:space="preserve">Its Statement of Investment Principles (SIP) published under Regulation </w:t>
      </w:r>
      <w:r w:rsidR="006C2998" w:rsidRPr="00695A2F">
        <w:rPr>
          <w:rFonts w:cs="Arial"/>
        </w:rPr>
        <w:t>12</w:t>
      </w:r>
      <w:r w:rsidRPr="00695A2F">
        <w:rPr>
          <w:rFonts w:cs="Arial"/>
        </w:rPr>
        <w:t xml:space="preserve"> of the Local Government Pension Scheme (Management and Investment of Funds) Regulations </w:t>
      </w:r>
      <w:r w:rsidR="003C286B" w:rsidRPr="00695A2F">
        <w:rPr>
          <w:rFonts w:cs="Arial"/>
        </w:rPr>
        <w:t>2009</w:t>
      </w:r>
      <w:r w:rsidRPr="00695A2F">
        <w:rPr>
          <w:rFonts w:cs="Arial"/>
        </w:rPr>
        <w:t>.</w:t>
      </w:r>
    </w:p>
    <w:p w:rsidR="00533B69" w:rsidRPr="00695A2F" w:rsidRDefault="00533B69" w:rsidP="00EA6A24">
      <w:pPr>
        <w:rPr>
          <w:rFonts w:cs="Arial"/>
        </w:rPr>
      </w:pPr>
    </w:p>
    <w:p w:rsidR="00533B69" w:rsidRPr="00695A2F" w:rsidRDefault="00533B69" w:rsidP="00EA6A24">
      <w:pPr>
        <w:rPr>
          <w:rFonts w:cs="Arial"/>
        </w:rPr>
      </w:pPr>
      <w:r w:rsidRPr="00695A2F">
        <w:rPr>
          <w:rFonts w:cs="Arial"/>
        </w:rPr>
        <w:t xml:space="preserve">The </w:t>
      </w:r>
      <w:proofErr w:type="spellStart"/>
      <w:r w:rsidRPr="00695A2F">
        <w:rPr>
          <w:rFonts w:cs="Arial"/>
        </w:rPr>
        <w:t>FSS</w:t>
      </w:r>
      <w:proofErr w:type="spellEnd"/>
      <w:r w:rsidRPr="00695A2F">
        <w:rPr>
          <w:rFonts w:cs="Arial"/>
        </w:rPr>
        <w:t xml:space="preserve"> must be revised and published whenever there is a material change in either the policy on the matters set out in the </w:t>
      </w:r>
      <w:proofErr w:type="spellStart"/>
      <w:r w:rsidRPr="00695A2F">
        <w:rPr>
          <w:rFonts w:cs="Arial"/>
        </w:rPr>
        <w:t>FSS</w:t>
      </w:r>
      <w:proofErr w:type="spellEnd"/>
      <w:r w:rsidRPr="00695A2F">
        <w:rPr>
          <w:rFonts w:cs="Arial"/>
        </w:rPr>
        <w:t xml:space="preserve"> or the SIP.  In practical terms this means that the </w:t>
      </w:r>
      <w:proofErr w:type="spellStart"/>
      <w:r w:rsidRPr="00695A2F">
        <w:rPr>
          <w:rFonts w:cs="Arial"/>
        </w:rPr>
        <w:t>FSS</w:t>
      </w:r>
      <w:proofErr w:type="spellEnd"/>
      <w:r w:rsidRPr="00695A2F">
        <w:rPr>
          <w:rFonts w:cs="Arial"/>
        </w:rPr>
        <w:t xml:space="preserve"> will need to be comprehensively revisited at each triennial valuation with an annual review in the interim period linked to the review of the SIP.</w:t>
      </w:r>
    </w:p>
    <w:p w:rsidR="00533B69" w:rsidRPr="00695A2F" w:rsidRDefault="00533B69" w:rsidP="00EA6A24">
      <w:pPr>
        <w:rPr>
          <w:rFonts w:cs="Arial"/>
        </w:rPr>
      </w:pPr>
    </w:p>
    <w:p w:rsidR="00533B69" w:rsidRPr="00695A2F" w:rsidRDefault="00533B69" w:rsidP="00EA6A24">
      <w:pPr>
        <w:rPr>
          <w:rFonts w:cs="Arial"/>
        </w:rPr>
      </w:pPr>
      <w:r w:rsidRPr="00695A2F">
        <w:rPr>
          <w:rFonts w:cs="Arial"/>
        </w:rPr>
        <w:t xml:space="preserve">The Fund Actuary must have regard to the </w:t>
      </w:r>
      <w:proofErr w:type="spellStart"/>
      <w:r w:rsidRPr="00695A2F">
        <w:rPr>
          <w:rFonts w:cs="Arial"/>
        </w:rPr>
        <w:t>FSS</w:t>
      </w:r>
      <w:proofErr w:type="spellEnd"/>
      <w:r w:rsidRPr="00695A2F">
        <w:rPr>
          <w:rFonts w:cs="Arial"/>
        </w:rPr>
        <w:t xml:space="preserve"> as part of the Fund valuation process.</w:t>
      </w:r>
    </w:p>
    <w:p w:rsidR="00533B69" w:rsidRPr="00695A2F" w:rsidRDefault="00533B69" w:rsidP="00EA6A24">
      <w:pPr>
        <w:rPr>
          <w:rFonts w:cs="Arial"/>
        </w:rPr>
      </w:pPr>
    </w:p>
    <w:p w:rsidR="00533B69" w:rsidRPr="00695A2F" w:rsidRDefault="00533B69" w:rsidP="00EA6A24">
      <w:pPr>
        <w:rPr>
          <w:rFonts w:cs="Arial"/>
        </w:rPr>
      </w:pPr>
      <w:r w:rsidRPr="00695A2F">
        <w:rPr>
          <w:rFonts w:cs="Arial"/>
        </w:rPr>
        <w:t xml:space="preserve">The </w:t>
      </w:r>
      <w:proofErr w:type="spellStart"/>
      <w:r w:rsidRPr="00695A2F">
        <w:rPr>
          <w:rFonts w:cs="Arial"/>
        </w:rPr>
        <w:t>FSS</w:t>
      </w:r>
      <w:proofErr w:type="spellEnd"/>
      <w:r w:rsidRPr="00695A2F">
        <w:rPr>
          <w:rFonts w:cs="Arial"/>
        </w:rPr>
        <w:t xml:space="preserve"> is prepared in consultation with interested parties.  These have been defined as participating employers, the actuary and investment consultant (</w:t>
      </w:r>
      <w:r w:rsidR="003C286B" w:rsidRPr="00695A2F">
        <w:rPr>
          <w:rFonts w:cs="Arial"/>
        </w:rPr>
        <w:t>Mercers</w:t>
      </w:r>
      <w:r w:rsidRPr="00695A2F">
        <w:rPr>
          <w:rFonts w:cs="Arial"/>
        </w:rPr>
        <w:t xml:space="preserve">).  The draft </w:t>
      </w:r>
      <w:proofErr w:type="spellStart"/>
      <w:r w:rsidRPr="00695A2F">
        <w:rPr>
          <w:rFonts w:cs="Arial"/>
        </w:rPr>
        <w:t>FSS</w:t>
      </w:r>
      <w:proofErr w:type="spellEnd"/>
      <w:r w:rsidRPr="00695A2F">
        <w:rPr>
          <w:rFonts w:cs="Arial"/>
        </w:rPr>
        <w:t xml:space="preserve"> has been prepared based on </w:t>
      </w:r>
      <w:r w:rsidR="003C286B" w:rsidRPr="00695A2F">
        <w:rPr>
          <w:rFonts w:cs="Arial"/>
        </w:rPr>
        <w:t>Mercer's</w:t>
      </w:r>
      <w:r w:rsidRPr="00695A2F">
        <w:rPr>
          <w:rFonts w:cs="Arial"/>
        </w:rPr>
        <w:t xml:space="preserve"> advice and </w:t>
      </w:r>
      <w:r w:rsidR="003C286B" w:rsidRPr="00695A2F">
        <w:rPr>
          <w:rFonts w:cs="Arial"/>
        </w:rPr>
        <w:t>the pertinent elements have b</w:t>
      </w:r>
      <w:r w:rsidRPr="00695A2F">
        <w:rPr>
          <w:rFonts w:cs="Arial"/>
        </w:rPr>
        <w:t xml:space="preserve">een shared with participating employers.  Members of the Scheme have not been consulted as their benefits are guaranteed by statute, but they will have access to the final statement on the </w:t>
      </w:r>
      <w:r w:rsidR="003C286B" w:rsidRPr="00695A2F">
        <w:rPr>
          <w:rFonts w:cs="Arial"/>
        </w:rPr>
        <w:t>Your Pension Service website</w:t>
      </w:r>
      <w:r w:rsidRPr="00695A2F">
        <w:rPr>
          <w:rFonts w:cs="Arial"/>
        </w:rPr>
        <w:t>.</w:t>
      </w:r>
    </w:p>
    <w:p w:rsidR="00EA6A24" w:rsidRDefault="00EA6A24" w:rsidP="00EA6A24">
      <w:pPr>
        <w:rPr>
          <w:rFonts w:cs="Arial"/>
          <w:b/>
        </w:rPr>
      </w:pPr>
    </w:p>
    <w:p w:rsidR="0059721A" w:rsidRPr="00695A2F" w:rsidRDefault="0059721A" w:rsidP="00EA6A24">
      <w:pPr>
        <w:rPr>
          <w:rFonts w:cs="Arial"/>
          <w:b/>
        </w:rPr>
      </w:pPr>
      <w:r w:rsidRPr="00695A2F">
        <w:rPr>
          <w:rFonts w:cs="Arial"/>
          <w:b/>
        </w:rPr>
        <w:t xml:space="preserve">Contents of </w:t>
      </w:r>
      <w:proofErr w:type="spellStart"/>
      <w:r w:rsidRPr="00695A2F">
        <w:rPr>
          <w:rFonts w:cs="Arial"/>
          <w:b/>
        </w:rPr>
        <w:t>FSS</w:t>
      </w:r>
      <w:proofErr w:type="spellEnd"/>
    </w:p>
    <w:p w:rsidR="0059721A" w:rsidRPr="00695A2F" w:rsidRDefault="0059721A" w:rsidP="00EA6A24">
      <w:pPr>
        <w:rPr>
          <w:rFonts w:cs="Arial"/>
        </w:rPr>
      </w:pPr>
    </w:p>
    <w:p w:rsidR="0059721A" w:rsidRPr="00695A2F" w:rsidRDefault="0059721A" w:rsidP="00EA6A24">
      <w:pPr>
        <w:spacing w:after="240"/>
        <w:rPr>
          <w:rFonts w:cs="Arial"/>
        </w:rPr>
      </w:pPr>
      <w:r w:rsidRPr="00695A2F">
        <w:rPr>
          <w:rFonts w:cs="Arial"/>
        </w:rPr>
        <w:t xml:space="preserve">The </w:t>
      </w:r>
      <w:proofErr w:type="spellStart"/>
      <w:r w:rsidRPr="00695A2F">
        <w:rPr>
          <w:rFonts w:cs="Arial"/>
        </w:rPr>
        <w:t>FSS</w:t>
      </w:r>
      <w:proofErr w:type="spellEnd"/>
      <w:r w:rsidRPr="00695A2F">
        <w:rPr>
          <w:rFonts w:cs="Arial"/>
        </w:rPr>
        <w:t xml:space="preserve"> is prepared under the following headings:</w:t>
      </w:r>
    </w:p>
    <w:p w:rsidR="0059721A" w:rsidRPr="00695A2F" w:rsidRDefault="0059721A" w:rsidP="00EA6A24">
      <w:pPr>
        <w:numPr>
          <w:ilvl w:val="0"/>
          <w:numId w:val="2"/>
        </w:numPr>
        <w:rPr>
          <w:rFonts w:cs="Arial"/>
          <w:i/>
          <w:szCs w:val="24"/>
        </w:rPr>
      </w:pPr>
      <w:r w:rsidRPr="00695A2F">
        <w:rPr>
          <w:rFonts w:cs="Arial"/>
          <w:szCs w:val="24"/>
        </w:rPr>
        <w:lastRenderedPageBreak/>
        <w:t xml:space="preserve">Purpose of the </w:t>
      </w:r>
      <w:proofErr w:type="spellStart"/>
      <w:r w:rsidRPr="00695A2F">
        <w:rPr>
          <w:rFonts w:cs="Arial"/>
          <w:szCs w:val="24"/>
        </w:rPr>
        <w:t>FSS</w:t>
      </w:r>
      <w:proofErr w:type="spellEnd"/>
      <w:r w:rsidRPr="00695A2F">
        <w:rPr>
          <w:rFonts w:cs="Arial"/>
          <w:szCs w:val="24"/>
        </w:rPr>
        <w:t xml:space="preserve"> in policy terms</w:t>
      </w:r>
      <w:r w:rsidR="00B33554">
        <w:rPr>
          <w:rFonts w:cs="Arial"/>
          <w:szCs w:val="24"/>
        </w:rPr>
        <w:t>;</w:t>
      </w:r>
    </w:p>
    <w:p w:rsidR="0059721A" w:rsidRPr="00695A2F" w:rsidRDefault="0059721A" w:rsidP="00EA6A24">
      <w:pPr>
        <w:numPr>
          <w:ilvl w:val="0"/>
          <w:numId w:val="2"/>
        </w:numPr>
        <w:rPr>
          <w:rFonts w:cs="Arial"/>
          <w:i/>
          <w:szCs w:val="24"/>
        </w:rPr>
      </w:pPr>
      <w:r w:rsidRPr="00695A2F">
        <w:rPr>
          <w:rFonts w:cs="Arial"/>
          <w:szCs w:val="24"/>
        </w:rPr>
        <w:t>Aims and Purpose of the Pension Fund</w:t>
      </w:r>
      <w:r w:rsidR="00B33554">
        <w:rPr>
          <w:rFonts w:cs="Arial"/>
          <w:szCs w:val="24"/>
        </w:rPr>
        <w:t>;</w:t>
      </w:r>
    </w:p>
    <w:p w:rsidR="0059721A" w:rsidRPr="00695A2F" w:rsidRDefault="0059721A" w:rsidP="00EA6A24">
      <w:pPr>
        <w:numPr>
          <w:ilvl w:val="0"/>
          <w:numId w:val="2"/>
        </w:numPr>
        <w:rPr>
          <w:rFonts w:cs="Arial"/>
          <w:i/>
          <w:szCs w:val="24"/>
        </w:rPr>
      </w:pPr>
      <w:r w:rsidRPr="00695A2F">
        <w:rPr>
          <w:rFonts w:cs="Arial"/>
          <w:szCs w:val="24"/>
        </w:rPr>
        <w:t>Responsibilities of the main parties</w:t>
      </w:r>
      <w:r w:rsidR="00B33554">
        <w:rPr>
          <w:rFonts w:cs="Arial"/>
          <w:szCs w:val="24"/>
        </w:rPr>
        <w:t>;</w:t>
      </w:r>
    </w:p>
    <w:p w:rsidR="0059721A" w:rsidRPr="00695A2F" w:rsidRDefault="0059721A" w:rsidP="00EA6A24">
      <w:pPr>
        <w:numPr>
          <w:ilvl w:val="0"/>
          <w:numId w:val="2"/>
        </w:numPr>
        <w:rPr>
          <w:rFonts w:cs="Arial"/>
          <w:i/>
          <w:szCs w:val="24"/>
        </w:rPr>
      </w:pPr>
      <w:r w:rsidRPr="00695A2F">
        <w:rPr>
          <w:rFonts w:cs="Arial"/>
          <w:szCs w:val="24"/>
        </w:rPr>
        <w:t>Solvency issues and target funding levels</w:t>
      </w:r>
      <w:r w:rsidR="00B33554">
        <w:rPr>
          <w:rFonts w:cs="Arial"/>
          <w:szCs w:val="24"/>
        </w:rPr>
        <w:t>;</w:t>
      </w:r>
    </w:p>
    <w:p w:rsidR="0059721A" w:rsidRPr="00695A2F" w:rsidRDefault="0059721A" w:rsidP="00EA6A24">
      <w:pPr>
        <w:numPr>
          <w:ilvl w:val="0"/>
          <w:numId w:val="2"/>
        </w:numPr>
        <w:rPr>
          <w:rFonts w:cs="Arial"/>
          <w:i/>
          <w:szCs w:val="24"/>
        </w:rPr>
      </w:pPr>
      <w:r w:rsidRPr="00695A2F">
        <w:rPr>
          <w:rFonts w:cs="Arial"/>
          <w:szCs w:val="24"/>
        </w:rPr>
        <w:t>Link to investment policy set out in the Statement of Investment Principles</w:t>
      </w:r>
      <w:r w:rsidR="00B33554">
        <w:rPr>
          <w:rFonts w:cs="Arial"/>
          <w:szCs w:val="24"/>
        </w:rPr>
        <w:t>;</w:t>
      </w:r>
    </w:p>
    <w:p w:rsidR="0059721A" w:rsidRPr="00695A2F" w:rsidRDefault="0059721A" w:rsidP="00EA6A24">
      <w:pPr>
        <w:numPr>
          <w:ilvl w:val="0"/>
          <w:numId w:val="2"/>
        </w:numPr>
        <w:rPr>
          <w:rFonts w:cs="Arial"/>
          <w:i/>
          <w:szCs w:val="24"/>
        </w:rPr>
      </w:pPr>
      <w:r w:rsidRPr="00695A2F">
        <w:rPr>
          <w:rFonts w:cs="Arial"/>
          <w:szCs w:val="24"/>
        </w:rPr>
        <w:t>Identification of risks and counter-measures</w:t>
      </w:r>
      <w:r w:rsidRPr="00695A2F">
        <w:rPr>
          <w:rFonts w:cs="Arial"/>
          <w:szCs w:val="24"/>
        </w:rPr>
        <w:tab/>
      </w:r>
      <w:r w:rsidR="00B33554">
        <w:rPr>
          <w:rFonts w:cs="Arial"/>
          <w:szCs w:val="24"/>
        </w:rPr>
        <w:t>.</w:t>
      </w:r>
    </w:p>
    <w:p w:rsidR="0059721A" w:rsidRPr="00695A2F" w:rsidRDefault="0059721A" w:rsidP="00EA6A24">
      <w:pPr>
        <w:rPr>
          <w:rFonts w:cs="Arial"/>
        </w:rPr>
      </w:pPr>
    </w:p>
    <w:p w:rsidR="00533B69" w:rsidRPr="00695A2F" w:rsidRDefault="0059721A" w:rsidP="00EA6A24">
      <w:pPr>
        <w:pStyle w:val="Heading1"/>
        <w:rPr>
          <w:rFonts w:cs="Arial"/>
        </w:rPr>
      </w:pPr>
      <w:r w:rsidRPr="00695A2F">
        <w:rPr>
          <w:rFonts w:cs="Arial"/>
        </w:rPr>
        <w:t>Fund Valuation as at 31 March 2013</w:t>
      </w:r>
    </w:p>
    <w:p w:rsidR="0059721A" w:rsidRPr="00695A2F" w:rsidRDefault="0059721A" w:rsidP="00EA6A24">
      <w:pPr>
        <w:rPr>
          <w:rFonts w:cs="Arial"/>
        </w:rPr>
      </w:pPr>
    </w:p>
    <w:p w:rsidR="0059721A" w:rsidRPr="00695A2F" w:rsidRDefault="00EA6A24" w:rsidP="00EA6A24">
      <w:pPr>
        <w:autoSpaceDE w:val="0"/>
        <w:autoSpaceDN w:val="0"/>
        <w:adjustRightInd w:val="0"/>
        <w:rPr>
          <w:rFonts w:cs="Arial"/>
          <w:szCs w:val="24"/>
        </w:rPr>
      </w:pPr>
      <w:r>
        <w:rPr>
          <w:rFonts w:cs="Arial"/>
        </w:rPr>
        <w:t>T</w:t>
      </w:r>
      <w:r w:rsidR="0059721A" w:rsidRPr="00695A2F">
        <w:rPr>
          <w:rFonts w:cs="Arial"/>
          <w:szCs w:val="24"/>
        </w:rPr>
        <w:t>he triennial Valuation of the assets and liabilities of the Lancashire County Pension Fund as at 31 March 2013 has been carried out by the Fund Actuary, Mercer. The results of the Valuation, including amendments to individual employer contribution rates, will be effective from 1 April 2014.</w:t>
      </w:r>
    </w:p>
    <w:p w:rsidR="0059721A" w:rsidRPr="00695A2F" w:rsidRDefault="0059721A" w:rsidP="00EA6A24">
      <w:pPr>
        <w:autoSpaceDE w:val="0"/>
        <w:autoSpaceDN w:val="0"/>
        <w:adjustRightInd w:val="0"/>
        <w:ind w:left="709" w:hanging="709"/>
        <w:rPr>
          <w:rFonts w:cs="Arial"/>
          <w:szCs w:val="24"/>
        </w:rPr>
      </w:pPr>
    </w:p>
    <w:p w:rsidR="0059721A" w:rsidRPr="00695A2F" w:rsidRDefault="0059721A" w:rsidP="00EA6A24">
      <w:pPr>
        <w:autoSpaceDE w:val="0"/>
        <w:autoSpaceDN w:val="0"/>
        <w:adjustRightInd w:val="0"/>
        <w:rPr>
          <w:rFonts w:cs="Arial"/>
          <w:szCs w:val="24"/>
        </w:rPr>
      </w:pPr>
      <w:r w:rsidRPr="00695A2F">
        <w:rPr>
          <w:rFonts w:cs="Arial"/>
          <w:szCs w:val="24"/>
        </w:rPr>
        <w:t>At headline whole fund level the overall funding level based on the various updated assumptions is around 78% as at the 31 March 2013, compared to 80% at March 2010. This differs from the figures in the regular performance reports because of the revised assumptions. Given the significant negative movements in key elements such as the discount rate this should be seen as a positive result for the Fund.</w:t>
      </w:r>
    </w:p>
    <w:p w:rsidR="0059721A" w:rsidRPr="00695A2F" w:rsidRDefault="0059721A" w:rsidP="00EA6A24">
      <w:pPr>
        <w:ind w:left="709" w:hanging="709"/>
        <w:rPr>
          <w:rFonts w:cs="Arial"/>
          <w:szCs w:val="24"/>
        </w:rPr>
      </w:pPr>
    </w:p>
    <w:p w:rsidR="0059721A" w:rsidRPr="00695A2F" w:rsidRDefault="0059721A" w:rsidP="00EA6A24">
      <w:pPr>
        <w:autoSpaceDE w:val="0"/>
        <w:autoSpaceDN w:val="0"/>
        <w:adjustRightInd w:val="0"/>
        <w:rPr>
          <w:rFonts w:cs="Arial"/>
          <w:szCs w:val="24"/>
        </w:rPr>
      </w:pPr>
      <w:r w:rsidRPr="00695A2F">
        <w:rPr>
          <w:rFonts w:cs="Arial"/>
          <w:szCs w:val="24"/>
        </w:rPr>
        <w:t>The results of the 2013 Valuation reveal a funding position of 78%</w:t>
      </w:r>
      <w:r w:rsidR="001E1716">
        <w:rPr>
          <w:rFonts w:cs="Arial"/>
          <w:szCs w:val="24"/>
        </w:rPr>
        <w:t>.</w:t>
      </w:r>
      <w:r w:rsidRPr="00695A2F">
        <w:rPr>
          <w:rFonts w:cs="Arial"/>
          <w:szCs w:val="24"/>
        </w:rPr>
        <w:t xml:space="preserve"> The Actuary presented these results at the Committee meeting held on 29 November 2013 and the results were also communicated to individual employers at a Directors Briefing on 10 December 2013. Subsequently</w:t>
      </w:r>
      <w:r w:rsidR="00BF1C96">
        <w:rPr>
          <w:rFonts w:cs="Arial"/>
          <w:szCs w:val="24"/>
        </w:rPr>
        <w:t xml:space="preserve"> the Actuary and Fund Officers </w:t>
      </w:r>
      <w:r w:rsidRPr="00695A2F">
        <w:rPr>
          <w:rFonts w:cs="Arial"/>
          <w:szCs w:val="24"/>
        </w:rPr>
        <w:t>ha</w:t>
      </w:r>
      <w:r w:rsidR="001E1716">
        <w:rPr>
          <w:rFonts w:cs="Arial"/>
          <w:szCs w:val="24"/>
        </w:rPr>
        <w:t>ve</w:t>
      </w:r>
      <w:r w:rsidRPr="00695A2F">
        <w:rPr>
          <w:rFonts w:cs="Arial"/>
          <w:szCs w:val="24"/>
        </w:rPr>
        <w:t xml:space="preserve"> held one to one "surgery sessions" with individual employers to assist them in understanding the results of the valuation.</w:t>
      </w:r>
    </w:p>
    <w:p w:rsidR="0059721A" w:rsidRPr="00695A2F" w:rsidRDefault="0059721A" w:rsidP="00EA6A24">
      <w:pPr>
        <w:ind w:left="709" w:hanging="709"/>
        <w:rPr>
          <w:rFonts w:cs="Arial"/>
          <w:szCs w:val="24"/>
        </w:rPr>
      </w:pPr>
    </w:p>
    <w:p w:rsidR="0059721A" w:rsidRPr="00695A2F" w:rsidRDefault="00742E91" w:rsidP="00EA6A24">
      <w:pPr>
        <w:autoSpaceDE w:val="0"/>
        <w:autoSpaceDN w:val="0"/>
        <w:adjustRightInd w:val="0"/>
        <w:rPr>
          <w:rFonts w:cs="Arial"/>
          <w:szCs w:val="24"/>
        </w:rPr>
      </w:pPr>
      <w:r w:rsidRPr="00695A2F">
        <w:rPr>
          <w:rFonts w:cs="Arial"/>
          <w:szCs w:val="24"/>
        </w:rPr>
        <w:t>The pertinent elements of the F</w:t>
      </w:r>
      <w:r w:rsidR="0059721A" w:rsidRPr="00695A2F">
        <w:rPr>
          <w:rFonts w:cs="Arial"/>
          <w:szCs w:val="24"/>
        </w:rPr>
        <w:t>und’s revised Funding Strategy Statement (</w:t>
      </w:r>
      <w:proofErr w:type="spellStart"/>
      <w:r w:rsidR="0059721A" w:rsidRPr="00695A2F">
        <w:rPr>
          <w:rFonts w:cs="Arial"/>
          <w:szCs w:val="24"/>
        </w:rPr>
        <w:t>FSS</w:t>
      </w:r>
      <w:proofErr w:type="spellEnd"/>
      <w:r w:rsidR="0059721A" w:rsidRPr="00695A2F">
        <w:rPr>
          <w:rFonts w:cs="Arial"/>
          <w:szCs w:val="24"/>
        </w:rPr>
        <w:t xml:space="preserve">), attached at Appendix ‘A’, was also communicated to employers at the Directors Briefing and </w:t>
      </w:r>
      <w:r w:rsidR="00BF1C96">
        <w:rPr>
          <w:rFonts w:cs="Arial"/>
          <w:szCs w:val="24"/>
        </w:rPr>
        <w:t>at the time of writing discussion</w:t>
      </w:r>
      <w:r w:rsidR="0059721A" w:rsidRPr="00695A2F">
        <w:rPr>
          <w:rFonts w:cs="Arial"/>
          <w:szCs w:val="24"/>
        </w:rPr>
        <w:t xml:space="preserve"> is </w:t>
      </w:r>
      <w:r w:rsidRPr="00695A2F">
        <w:rPr>
          <w:rFonts w:cs="Arial"/>
          <w:szCs w:val="24"/>
        </w:rPr>
        <w:t>still ongoing</w:t>
      </w:r>
      <w:r w:rsidR="0059721A" w:rsidRPr="00695A2F">
        <w:rPr>
          <w:rFonts w:cs="Arial"/>
          <w:szCs w:val="24"/>
        </w:rPr>
        <w:t xml:space="preserve"> with</w:t>
      </w:r>
      <w:r w:rsidR="00BF1C96">
        <w:rPr>
          <w:rFonts w:cs="Arial"/>
          <w:szCs w:val="24"/>
        </w:rPr>
        <w:t xml:space="preserve"> a number of </w:t>
      </w:r>
      <w:r w:rsidR="0059721A" w:rsidRPr="00695A2F">
        <w:rPr>
          <w:rFonts w:cs="Arial"/>
          <w:szCs w:val="24"/>
        </w:rPr>
        <w:t>individual Fund employers in respect of their individual employer contribution rates and the options available to them via the revised Funding Strategy Statement.</w:t>
      </w:r>
    </w:p>
    <w:p w:rsidR="00742E91" w:rsidRPr="00695A2F" w:rsidRDefault="00742E91" w:rsidP="00EA6A24">
      <w:pPr>
        <w:pStyle w:val="Heading1"/>
        <w:rPr>
          <w:rFonts w:cs="Arial"/>
          <w:b w:val="0"/>
          <w:szCs w:val="24"/>
        </w:rPr>
      </w:pPr>
    </w:p>
    <w:p w:rsidR="0059721A" w:rsidRPr="00695A2F" w:rsidRDefault="0059721A" w:rsidP="00EA6A24">
      <w:pPr>
        <w:pStyle w:val="Heading1"/>
        <w:rPr>
          <w:rFonts w:cs="Arial"/>
          <w:b w:val="0"/>
          <w:szCs w:val="24"/>
        </w:rPr>
      </w:pPr>
      <w:r w:rsidRPr="00695A2F">
        <w:rPr>
          <w:rFonts w:cs="Arial"/>
          <w:b w:val="0"/>
          <w:szCs w:val="24"/>
        </w:rPr>
        <w:t xml:space="preserve">Section </w:t>
      </w:r>
      <w:r w:rsidR="00017C10">
        <w:rPr>
          <w:rFonts w:cs="Arial"/>
          <w:b w:val="0"/>
          <w:szCs w:val="24"/>
        </w:rPr>
        <w:t>5</w:t>
      </w:r>
      <w:r w:rsidRPr="00695A2F">
        <w:rPr>
          <w:rFonts w:cs="Arial"/>
          <w:b w:val="0"/>
          <w:szCs w:val="24"/>
        </w:rPr>
        <w:t xml:space="preserve"> of the </w:t>
      </w:r>
      <w:proofErr w:type="spellStart"/>
      <w:r w:rsidRPr="00695A2F">
        <w:rPr>
          <w:rFonts w:cs="Arial"/>
          <w:b w:val="0"/>
          <w:szCs w:val="24"/>
        </w:rPr>
        <w:t>FSS</w:t>
      </w:r>
      <w:proofErr w:type="spellEnd"/>
      <w:r w:rsidRPr="00695A2F">
        <w:rPr>
          <w:rFonts w:cs="Arial"/>
          <w:b w:val="0"/>
          <w:szCs w:val="24"/>
        </w:rPr>
        <w:t xml:space="preserve"> set out the deficit recovery plan as follows: -</w:t>
      </w:r>
    </w:p>
    <w:p w:rsidR="0059721A" w:rsidRPr="00695A2F" w:rsidRDefault="0059721A" w:rsidP="00EA6A24">
      <w:pPr>
        <w:pStyle w:val="Heading1"/>
        <w:rPr>
          <w:rFonts w:cs="Arial"/>
          <w:b w:val="0"/>
          <w:szCs w:val="24"/>
        </w:rPr>
      </w:pPr>
    </w:p>
    <w:p w:rsidR="00017C10" w:rsidRDefault="00017C10" w:rsidP="00EA6A24">
      <w:pPr>
        <w:rPr>
          <w:rFonts w:ascii="TT1915Do00" w:eastAsia="Cambria" w:hAnsi="TT1915Do00" w:cs="TT1915Do00"/>
          <w:color w:val="000000" w:themeColor="text1"/>
        </w:rPr>
      </w:pPr>
      <w:r w:rsidRPr="00563A61">
        <w:rPr>
          <w:rFonts w:ascii="TT1915Do00" w:eastAsia="Cambria" w:hAnsi="TT1915Do00" w:cs="TT1915Do00"/>
          <w:color w:val="000000" w:themeColor="text1"/>
        </w:rPr>
        <w:t>Underlying the</w:t>
      </w:r>
      <w:r>
        <w:rPr>
          <w:rFonts w:ascii="TT1915Do00" w:eastAsia="Cambria" w:hAnsi="TT1915Do00" w:cs="TT1915Do00"/>
          <w:color w:val="000000" w:themeColor="text1"/>
        </w:rPr>
        <w:t xml:space="preserve"> </w:t>
      </w:r>
      <w:r w:rsidRPr="00563A61">
        <w:rPr>
          <w:rFonts w:ascii="TT1915Do00" w:eastAsia="Cambria" w:hAnsi="TT1915Do00" w:cs="TT1915Do00"/>
          <w:color w:val="000000" w:themeColor="text1"/>
        </w:rPr>
        <w:t xml:space="preserve">assumptions </w:t>
      </w:r>
      <w:r>
        <w:rPr>
          <w:rFonts w:ascii="TT1915Do00" w:eastAsia="Cambria" w:hAnsi="TT1915Do00" w:cs="TT1915Do00"/>
          <w:color w:val="000000" w:themeColor="text1"/>
        </w:rPr>
        <w:t xml:space="preserve">used in the calculation of the funding target </w:t>
      </w:r>
      <w:r w:rsidRPr="00563A61">
        <w:rPr>
          <w:rFonts w:ascii="TT1915Do00" w:eastAsia="Cambria" w:hAnsi="TT1915Do00" w:cs="TT1915Do00"/>
          <w:color w:val="000000" w:themeColor="text1"/>
        </w:rPr>
        <w:t>are the following two tenets:</w:t>
      </w:r>
    </w:p>
    <w:p w:rsidR="00017C10" w:rsidRPr="00563A61" w:rsidRDefault="00017C10" w:rsidP="00EA6A24">
      <w:pPr>
        <w:rPr>
          <w:rFonts w:ascii="TT1915Do00" w:eastAsia="Cambria" w:hAnsi="TT1915Do00" w:cs="TT1915Do00"/>
          <w:color w:val="000000" w:themeColor="text1"/>
        </w:rPr>
      </w:pPr>
    </w:p>
    <w:p w:rsidR="00017C10" w:rsidRPr="00563A61" w:rsidRDefault="00017C10" w:rsidP="00EA6A24">
      <w:pPr>
        <w:numPr>
          <w:ilvl w:val="0"/>
          <w:numId w:val="12"/>
        </w:numPr>
        <w:ind w:hanging="11"/>
        <w:jc w:val="both"/>
        <w:rPr>
          <w:rFonts w:ascii="TT1915Do00" w:eastAsia="Cambria" w:hAnsi="TT1915Do00" w:cs="TT1915Do00"/>
          <w:color w:val="000000" w:themeColor="text1"/>
        </w:rPr>
      </w:pPr>
      <w:r w:rsidRPr="00563A61">
        <w:rPr>
          <w:rFonts w:ascii="TT1915Do00" w:eastAsia="Cambria" w:hAnsi="TT1915Do00" w:cs="TT1915Do00"/>
          <w:color w:val="000000" w:themeColor="text1"/>
        </w:rPr>
        <w:t>that the Scheme is expected to continue for the foreseeable future; and</w:t>
      </w:r>
    </w:p>
    <w:p w:rsidR="00017C10" w:rsidRPr="00563A61" w:rsidRDefault="00017C10" w:rsidP="00F75B7E">
      <w:pPr>
        <w:numPr>
          <w:ilvl w:val="0"/>
          <w:numId w:val="12"/>
        </w:numPr>
        <w:tabs>
          <w:tab w:val="clear" w:pos="720"/>
          <w:tab w:val="num" w:pos="1418"/>
        </w:tabs>
        <w:ind w:left="1418" w:hanging="709"/>
        <w:rPr>
          <w:rFonts w:ascii="TT1915Do00" w:eastAsia="Cambria" w:hAnsi="TT1915Do00" w:cs="TT1915Do00"/>
          <w:color w:val="000000" w:themeColor="text1"/>
        </w:rPr>
      </w:pPr>
      <w:proofErr w:type="gramStart"/>
      <w:r w:rsidRPr="00563A61">
        <w:rPr>
          <w:rFonts w:ascii="TT1915Do00" w:eastAsia="Cambria" w:hAnsi="TT1915Do00" w:cs="TT1915Do00"/>
          <w:color w:val="000000" w:themeColor="text1"/>
        </w:rPr>
        <w:t>favourable</w:t>
      </w:r>
      <w:proofErr w:type="gramEnd"/>
      <w:r w:rsidRPr="00563A61">
        <w:rPr>
          <w:rFonts w:ascii="TT1915Do00" w:eastAsia="Cambria" w:hAnsi="TT1915Do00" w:cs="TT1915Do00"/>
          <w:color w:val="000000" w:themeColor="text1"/>
        </w:rPr>
        <w:t xml:space="preserve"> investment performance can play a valuable role in achieving adequate funding over the longer term.</w:t>
      </w:r>
    </w:p>
    <w:p w:rsidR="00017C10" w:rsidRDefault="00017C10" w:rsidP="00EA6A24">
      <w:pPr>
        <w:rPr>
          <w:rFonts w:ascii="TT1915Do00" w:eastAsia="Cambria" w:hAnsi="TT1915Do00" w:cs="TT1915Do00"/>
          <w:color w:val="000000" w:themeColor="text1"/>
        </w:rPr>
      </w:pPr>
    </w:p>
    <w:p w:rsidR="00017C10" w:rsidRDefault="00017C10" w:rsidP="00EA6A24">
      <w:pPr>
        <w:rPr>
          <w:rFonts w:cs="Arial"/>
        </w:rPr>
      </w:pPr>
      <w:r>
        <w:rPr>
          <w:rFonts w:cs="Arial"/>
        </w:rPr>
        <w:t>This allows us to take a longer term view when assessing the contribution requirements for certain employers.  As part of this valuation when looking to potentially stabilise contribution requirements we will consider whether we can build into the funding plan the following:-</w:t>
      </w:r>
    </w:p>
    <w:p w:rsidR="00BF1C96" w:rsidRDefault="00BF1C96" w:rsidP="00EA6A24">
      <w:pPr>
        <w:ind w:left="709"/>
        <w:rPr>
          <w:rFonts w:cs="Arial"/>
        </w:rPr>
      </w:pPr>
    </w:p>
    <w:p w:rsidR="00017C10" w:rsidRDefault="00017C10" w:rsidP="00EA6A24">
      <w:pPr>
        <w:numPr>
          <w:ilvl w:val="0"/>
          <w:numId w:val="12"/>
        </w:numPr>
        <w:tabs>
          <w:tab w:val="clear" w:pos="720"/>
          <w:tab w:val="num" w:pos="1418"/>
        </w:tabs>
        <w:ind w:left="1418" w:hanging="709"/>
        <w:jc w:val="both"/>
        <w:rPr>
          <w:rFonts w:cs="Arial"/>
        </w:rPr>
      </w:pPr>
      <w:r>
        <w:rPr>
          <w:rFonts w:cs="Arial"/>
        </w:rPr>
        <w:t>some allowance for changes in market conditions that have occurred since the valuation date;</w:t>
      </w:r>
    </w:p>
    <w:p w:rsidR="00017C10" w:rsidRDefault="00017C10" w:rsidP="00EA6A24">
      <w:pPr>
        <w:numPr>
          <w:ilvl w:val="0"/>
          <w:numId w:val="12"/>
        </w:numPr>
        <w:tabs>
          <w:tab w:val="clear" w:pos="720"/>
          <w:tab w:val="num" w:pos="1418"/>
        </w:tabs>
        <w:ind w:left="1418" w:hanging="709"/>
        <w:jc w:val="both"/>
        <w:rPr>
          <w:rFonts w:cs="Arial"/>
        </w:rPr>
      </w:pPr>
      <w:proofErr w:type="gramStart"/>
      <w:r>
        <w:rPr>
          <w:rFonts w:cs="Arial"/>
        </w:rPr>
        <w:lastRenderedPageBreak/>
        <w:t>some</w:t>
      </w:r>
      <w:proofErr w:type="gramEnd"/>
      <w:r>
        <w:rPr>
          <w:rFonts w:cs="Arial"/>
        </w:rPr>
        <w:t xml:space="preserve"> further allowance for interest rates and bond yields to revert to higher levels over the medium to long term.</w:t>
      </w:r>
    </w:p>
    <w:p w:rsidR="00EA6A24" w:rsidRDefault="00EA6A24" w:rsidP="00EA6A24">
      <w:pPr>
        <w:ind w:left="1418"/>
        <w:jc w:val="both"/>
        <w:rPr>
          <w:rFonts w:cs="Arial"/>
        </w:rPr>
      </w:pPr>
    </w:p>
    <w:p w:rsidR="00017C10" w:rsidRPr="00563A61" w:rsidRDefault="00017C10" w:rsidP="00EA6A24">
      <w:pPr>
        <w:rPr>
          <w:rFonts w:ascii="TT1915Do00" w:eastAsia="Cambria" w:hAnsi="TT1915Do00" w:cs="TT1915Do00"/>
          <w:color w:val="000000" w:themeColor="text1"/>
        </w:rPr>
      </w:pPr>
      <w:r w:rsidRPr="00563A61">
        <w:rPr>
          <w:rFonts w:ascii="TT1915Do00" w:eastAsia="Cambria" w:hAnsi="TT1915Do00" w:cs="TT1915Do00"/>
          <w:color w:val="000000" w:themeColor="text1"/>
        </w:rPr>
        <w:t>In considering this the Administering Authority, based on the advice of the Actuary, will consider if this results in a reasonable likelihood that the funding plan will be successful.</w:t>
      </w:r>
    </w:p>
    <w:p w:rsidR="00017C10" w:rsidRPr="00563A61" w:rsidRDefault="00017C10" w:rsidP="00EA6A24">
      <w:pPr>
        <w:rPr>
          <w:rFonts w:ascii="TT1915Do00" w:eastAsia="Cambria" w:hAnsi="TT1915Do00" w:cs="TT1915Do00"/>
          <w:color w:val="000000" w:themeColor="text1"/>
        </w:rPr>
      </w:pPr>
    </w:p>
    <w:p w:rsidR="00017C10" w:rsidRDefault="00017C10" w:rsidP="00EA6A24">
      <w:pPr>
        <w:rPr>
          <w:rFonts w:ascii="TT1915Do00" w:eastAsia="Cambria" w:hAnsi="TT1915Do00" w:cs="TT1915Do00"/>
          <w:color w:val="000000" w:themeColor="text1"/>
        </w:rPr>
      </w:pPr>
      <w:r w:rsidRPr="00563A61">
        <w:rPr>
          <w:rFonts w:ascii="TT1915Do00" w:eastAsia="Cambria" w:hAnsi="TT1915Do00" w:cs="TT1915Do00"/>
          <w:color w:val="000000" w:themeColor="text1"/>
        </w:rPr>
        <w:t>As part of each valuation separate employer contribution rates are assessed by the actuary for each participating employer or group of employers. These rates are assessed taking into account the experience and circumstances of each employer (or employer grouping), following a principle of no cross-subsidy between the various employers in the Scheme.</w:t>
      </w:r>
    </w:p>
    <w:p w:rsidR="00017C10" w:rsidRPr="00563A61" w:rsidRDefault="00017C10" w:rsidP="00EA6A24">
      <w:pPr>
        <w:rPr>
          <w:rFonts w:ascii="TT1915Do00" w:eastAsia="Cambria" w:hAnsi="TT1915Do00" w:cs="TT1915Do00"/>
          <w:color w:val="000000" w:themeColor="text1"/>
        </w:rPr>
      </w:pPr>
    </w:p>
    <w:p w:rsidR="00017C10" w:rsidRPr="00563A61" w:rsidRDefault="00017C10" w:rsidP="00EA6A24">
      <w:pPr>
        <w:rPr>
          <w:rFonts w:ascii="TT1915Do00" w:eastAsia="Cambria" w:hAnsi="TT1915Do00" w:cs="TT1915Do00"/>
          <w:color w:val="000000" w:themeColor="text1"/>
        </w:rPr>
      </w:pPr>
      <w:r w:rsidRPr="00563A61">
        <w:rPr>
          <w:rFonts w:ascii="TT1915Do00" w:eastAsia="Cambria" w:hAnsi="TT1915Do00" w:cs="TT1915Do00"/>
          <w:color w:val="000000" w:themeColor="text1"/>
        </w:rPr>
        <w:t>In attributing the overall investment performance obtained on the assets of the Scheme to each employer a pro-rata principle is adopted. This approach is effectively one of applying a notional individual employer investment strategy identical to that adopted for the Scheme as a whole.</w:t>
      </w:r>
    </w:p>
    <w:p w:rsidR="00017C10" w:rsidRPr="00563A61" w:rsidRDefault="00017C10" w:rsidP="00EA6A24">
      <w:pPr>
        <w:rPr>
          <w:rFonts w:ascii="TT1915Do00" w:eastAsia="Cambria" w:hAnsi="TT1915Do00" w:cs="TT1915Do00"/>
          <w:color w:val="000000" w:themeColor="text1"/>
        </w:rPr>
      </w:pPr>
    </w:p>
    <w:p w:rsidR="00017C10" w:rsidRDefault="00017C10" w:rsidP="00EA6A24">
      <w:pPr>
        <w:rPr>
          <w:rFonts w:ascii="TT1915Do00" w:eastAsia="Cambria" w:hAnsi="TT1915Do00" w:cs="TT1915Do00"/>
          <w:color w:val="000000" w:themeColor="text1"/>
        </w:rPr>
      </w:pPr>
      <w:r w:rsidRPr="00563A61">
        <w:rPr>
          <w:rFonts w:ascii="TT1915Do00" w:eastAsia="Cambria" w:hAnsi="TT1915Do00" w:cs="TT1915Do00"/>
          <w:color w:val="000000" w:themeColor="text1"/>
        </w:rPr>
        <w:t>The Administering Authority, following consultation with the participating employers, has adopted the following objectives for setting the individual employer contribution rates</w:t>
      </w:r>
      <w:r w:rsidRPr="00563A61">
        <w:rPr>
          <w:rFonts w:cs="Arial"/>
        </w:rPr>
        <w:t xml:space="preserve"> </w:t>
      </w:r>
      <w:r w:rsidRPr="009A05AB">
        <w:rPr>
          <w:rFonts w:cs="Arial"/>
        </w:rPr>
        <w:t>arising from the 20</w:t>
      </w:r>
      <w:r>
        <w:rPr>
          <w:rFonts w:cs="Arial"/>
        </w:rPr>
        <w:t>13</w:t>
      </w:r>
      <w:r w:rsidRPr="009A05AB">
        <w:rPr>
          <w:rFonts w:cs="Arial"/>
        </w:rPr>
        <w:t xml:space="preserve"> actuarial valuation</w:t>
      </w:r>
      <w:r w:rsidRPr="00563A61">
        <w:rPr>
          <w:rFonts w:ascii="TT1915Do00" w:eastAsia="Cambria" w:hAnsi="TT1915Do00" w:cs="TT1915Do00"/>
          <w:color w:val="000000" w:themeColor="text1"/>
        </w:rPr>
        <w:t>:</w:t>
      </w:r>
    </w:p>
    <w:p w:rsidR="00017C10" w:rsidRPr="00563A61" w:rsidRDefault="00017C10" w:rsidP="00EA6A24">
      <w:pPr>
        <w:rPr>
          <w:rFonts w:ascii="TT1915Do00" w:eastAsia="Cambria" w:hAnsi="TT1915Do00" w:cs="TT1915Do00"/>
          <w:color w:val="000000" w:themeColor="text1"/>
        </w:rPr>
      </w:pPr>
    </w:p>
    <w:p w:rsidR="00017C10" w:rsidRPr="00563A61" w:rsidRDefault="00017C10" w:rsidP="00EA6A24">
      <w:pPr>
        <w:numPr>
          <w:ilvl w:val="0"/>
          <w:numId w:val="12"/>
        </w:numPr>
        <w:tabs>
          <w:tab w:val="clear" w:pos="720"/>
          <w:tab w:val="num" w:pos="1418"/>
        </w:tabs>
        <w:ind w:left="1418" w:hanging="709"/>
        <w:jc w:val="both"/>
        <w:rPr>
          <w:rFonts w:ascii="TT1915Do00" w:eastAsia="Cambria" w:hAnsi="TT1915Do00" w:cs="TT1915Do00"/>
          <w:color w:val="000000" w:themeColor="text1"/>
        </w:rPr>
      </w:pPr>
      <w:r w:rsidRPr="00563A61">
        <w:rPr>
          <w:rFonts w:ascii="TT1915Do00" w:eastAsia="Cambria" w:hAnsi="TT1915Do00" w:cs="TT1915Do00"/>
          <w:color w:val="000000" w:themeColor="text1"/>
        </w:rPr>
        <w:t>A maximum deficit recovery period of 19 years will apply. Employers will have the freedom to adopt a recovery plan on the basis of a shorter period if they so wish. A different period may be applied in respect of particular employers where the Administering Authority considers this to be warranted (see Deficit Recovery Plan below).</w:t>
      </w:r>
    </w:p>
    <w:p w:rsidR="00017C10" w:rsidRDefault="00017C10" w:rsidP="00EA6A24">
      <w:pPr>
        <w:numPr>
          <w:ilvl w:val="0"/>
          <w:numId w:val="12"/>
        </w:numPr>
        <w:tabs>
          <w:tab w:val="clear" w:pos="720"/>
          <w:tab w:val="num" w:pos="1418"/>
        </w:tabs>
        <w:ind w:left="1418" w:hanging="709"/>
        <w:jc w:val="both"/>
        <w:rPr>
          <w:rFonts w:ascii="TT1915Do00" w:eastAsia="Cambria" w:hAnsi="TT1915Do00" w:cs="TT1915Do00"/>
          <w:color w:val="000000" w:themeColor="text1"/>
        </w:rPr>
      </w:pPr>
      <w:r w:rsidRPr="00563A61">
        <w:rPr>
          <w:rFonts w:ascii="TT1915Do00" w:eastAsia="Cambria" w:hAnsi="TT1915Do00" w:cs="TT1915Do00"/>
          <w:color w:val="000000" w:themeColor="text1"/>
        </w:rPr>
        <w:t>Where increases in employer contribution rates are required from 1 April 201</w:t>
      </w:r>
      <w:r>
        <w:rPr>
          <w:rFonts w:ascii="TT1915Do00" w:eastAsia="Cambria" w:hAnsi="TT1915Do00" w:cs="TT1915Do00"/>
          <w:color w:val="000000" w:themeColor="text1"/>
        </w:rPr>
        <w:t>4</w:t>
      </w:r>
      <w:r w:rsidRPr="00563A61">
        <w:rPr>
          <w:rFonts w:ascii="TT1915Do00" w:eastAsia="Cambria" w:hAnsi="TT1915Do00" w:cs="TT1915Do00"/>
          <w:color w:val="000000" w:themeColor="text1"/>
        </w:rPr>
        <w:t>, following completion of the 201</w:t>
      </w:r>
      <w:r>
        <w:rPr>
          <w:rFonts w:ascii="TT1915Do00" w:eastAsia="Cambria" w:hAnsi="TT1915Do00" w:cs="TT1915Do00"/>
          <w:color w:val="000000" w:themeColor="text1"/>
        </w:rPr>
        <w:t>3</w:t>
      </w:r>
      <w:r w:rsidRPr="00563A61">
        <w:rPr>
          <w:rFonts w:ascii="TT1915Do00" w:eastAsia="Cambria" w:hAnsi="TT1915Do00" w:cs="TT1915Do00"/>
          <w:color w:val="000000" w:themeColor="text1"/>
        </w:rPr>
        <w:t xml:space="preserve"> actuarial valuation, the increase from the rates of contribution payable in the year 201</w:t>
      </w:r>
      <w:r>
        <w:rPr>
          <w:rFonts w:ascii="TT1915Do00" w:eastAsia="Cambria" w:hAnsi="TT1915Do00" w:cs="TT1915Do00"/>
          <w:color w:val="000000" w:themeColor="text1"/>
        </w:rPr>
        <w:t>4/15</w:t>
      </w:r>
      <w:r w:rsidRPr="00563A61">
        <w:rPr>
          <w:rFonts w:ascii="TT1915Do00" w:eastAsia="Cambria" w:hAnsi="TT1915Do00" w:cs="TT1915Do00"/>
          <w:color w:val="000000" w:themeColor="text1"/>
        </w:rPr>
        <w:t xml:space="preserve"> may be implemented in equal steps, over a maximum period of 3 years.</w:t>
      </w:r>
    </w:p>
    <w:p w:rsidR="00017C10" w:rsidRDefault="00017C10" w:rsidP="00EA6A24">
      <w:pPr>
        <w:rPr>
          <w:rFonts w:ascii="TT1915Do00" w:eastAsia="Cambria" w:hAnsi="TT1915Do00" w:cs="TT1915Do00"/>
          <w:color w:val="000000" w:themeColor="text1"/>
        </w:rPr>
      </w:pPr>
    </w:p>
    <w:p w:rsidR="00017C10" w:rsidRPr="00563A61" w:rsidRDefault="00017C10" w:rsidP="00EA6A24">
      <w:pPr>
        <w:spacing w:after="240"/>
        <w:rPr>
          <w:rFonts w:ascii="TT1915Eo00" w:eastAsia="Cambria" w:hAnsi="TT1915Eo00" w:cs="TT1915Eo00"/>
          <w:color w:val="000000" w:themeColor="text1"/>
        </w:rPr>
      </w:pPr>
      <w:r w:rsidRPr="00563A61">
        <w:rPr>
          <w:rFonts w:ascii="TT1915Eo00" w:eastAsia="Cambria" w:hAnsi="TT1915Eo00" w:cs="TT1915Eo00"/>
          <w:color w:val="000000" w:themeColor="text1"/>
        </w:rPr>
        <w:t>The employer contributions will be expressed and certified as two separate elements:</w:t>
      </w:r>
    </w:p>
    <w:p w:rsidR="00017C10" w:rsidRDefault="00017C10" w:rsidP="00EA6A24">
      <w:pPr>
        <w:numPr>
          <w:ilvl w:val="0"/>
          <w:numId w:val="12"/>
        </w:numPr>
        <w:tabs>
          <w:tab w:val="clear" w:pos="720"/>
          <w:tab w:val="num" w:pos="1418"/>
        </w:tabs>
        <w:ind w:left="1418" w:hanging="709"/>
        <w:jc w:val="both"/>
        <w:rPr>
          <w:rFonts w:cs="Arial"/>
        </w:rPr>
      </w:pPr>
      <w:r>
        <w:rPr>
          <w:rFonts w:cs="Arial"/>
        </w:rPr>
        <w:t>a percentage of pensionable payroll in respect of the future accrual of benefit</w:t>
      </w:r>
    </w:p>
    <w:p w:rsidR="00017C10" w:rsidRDefault="00017C10" w:rsidP="00EA6A24">
      <w:pPr>
        <w:numPr>
          <w:ilvl w:val="0"/>
          <w:numId w:val="12"/>
        </w:numPr>
        <w:tabs>
          <w:tab w:val="clear" w:pos="720"/>
          <w:tab w:val="num" w:pos="1418"/>
        </w:tabs>
        <w:ind w:left="1418" w:hanging="709"/>
        <w:jc w:val="both"/>
        <w:rPr>
          <w:rFonts w:cs="Arial"/>
        </w:rPr>
      </w:pPr>
      <w:proofErr w:type="gramStart"/>
      <w:r>
        <w:rPr>
          <w:rFonts w:cs="Arial"/>
        </w:rPr>
        <w:t>a</w:t>
      </w:r>
      <w:proofErr w:type="gramEnd"/>
      <w:r>
        <w:rPr>
          <w:rFonts w:cs="Arial"/>
        </w:rPr>
        <w:t xml:space="preserve"> schedule of lump sum amounts over 2014/17 in respect of the past service deficit (subject to the review from April 2017 based on the results of the 2016 actuarial valuation).</w:t>
      </w:r>
    </w:p>
    <w:p w:rsidR="00EA6A24" w:rsidRDefault="00EA6A24" w:rsidP="00EA6A24">
      <w:pPr>
        <w:ind w:left="1418"/>
        <w:jc w:val="both"/>
        <w:rPr>
          <w:rFonts w:cs="Arial"/>
        </w:rPr>
      </w:pPr>
    </w:p>
    <w:p w:rsidR="00017C10" w:rsidRDefault="00017C10" w:rsidP="00EA6A24">
      <w:pPr>
        <w:rPr>
          <w:rFonts w:ascii="TT1915Do00" w:eastAsia="Cambria" w:hAnsi="TT1915Do00" w:cs="TT1915Do00"/>
        </w:rPr>
      </w:pPr>
      <w:r w:rsidRPr="00563A61">
        <w:rPr>
          <w:rFonts w:ascii="TT1915Do00" w:eastAsia="Cambria" w:hAnsi="TT1915Do00" w:cs="TT1915Do00"/>
        </w:rPr>
        <w:t>The contributions for any employer</w:t>
      </w:r>
      <w:r>
        <w:rPr>
          <w:rFonts w:ascii="TT1915Do00" w:eastAsia="Cambria" w:hAnsi="TT1915Do00" w:cs="TT1915Do00"/>
        </w:rPr>
        <w:t xml:space="preserve"> </w:t>
      </w:r>
      <w:r w:rsidRPr="00563A61">
        <w:rPr>
          <w:rFonts w:ascii="TT1915Do00" w:eastAsia="Cambria" w:hAnsi="TT1915Do00" w:cs="TT1915Do00"/>
        </w:rPr>
        <w:t>may be varied as agreed by the Actuary and Administering Authority to reflect any changes in contribution requirements as a result of any benefit costs being insured with a third party or internally within the Fund.</w:t>
      </w:r>
    </w:p>
    <w:p w:rsidR="0059721A" w:rsidRPr="00695A2F" w:rsidRDefault="0059721A" w:rsidP="00EA6A24">
      <w:pPr>
        <w:pStyle w:val="Heading1"/>
        <w:rPr>
          <w:rFonts w:cs="Arial"/>
        </w:rPr>
      </w:pPr>
    </w:p>
    <w:p w:rsidR="0059721A" w:rsidRPr="00695A2F" w:rsidRDefault="00742E91" w:rsidP="00EA6A24">
      <w:pPr>
        <w:autoSpaceDE w:val="0"/>
        <w:autoSpaceDN w:val="0"/>
        <w:adjustRightInd w:val="0"/>
        <w:rPr>
          <w:rFonts w:cs="Arial"/>
        </w:rPr>
      </w:pPr>
      <w:r w:rsidRPr="00695A2F">
        <w:rPr>
          <w:rFonts w:cs="Arial"/>
          <w:szCs w:val="24"/>
        </w:rPr>
        <w:t>The formal Actuarial Valuation Report as at 31 March 2013 is expected to be available no later than 31 March 2014. A copy of the Report will be sent to all members of the Pension Fund Committee.</w:t>
      </w:r>
    </w:p>
    <w:p w:rsidR="0059721A" w:rsidRDefault="0059721A" w:rsidP="00EA6A24">
      <w:pPr>
        <w:pStyle w:val="Heading1"/>
        <w:rPr>
          <w:rFonts w:cs="Arial"/>
        </w:rPr>
      </w:pPr>
    </w:p>
    <w:p w:rsidR="003E6A45" w:rsidRPr="00695A2F" w:rsidRDefault="003E6A45" w:rsidP="00482034">
      <w:pPr>
        <w:pStyle w:val="Heading1"/>
        <w:spacing w:line="276" w:lineRule="auto"/>
        <w:rPr>
          <w:rFonts w:cs="Arial"/>
        </w:rPr>
      </w:pPr>
      <w:r w:rsidRPr="00695A2F">
        <w:rPr>
          <w:rFonts w:cs="Arial"/>
        </w:rPr>
        <w:t>Consultations</w:t>
      </w:r>
    </w:p>
    <w:p w:rsidR="003E6A45" w:rsidRPr="00695A2F" w:rsidRDefault="003E6A45" w:rsidP="00482034">
      <w:pPr>
        <w:pStyle w:val="Header"/>
        <w:spacing w:line="276" w:lineRule="auto"/>
        <w:rPr>
          <w:rFonts w:cs="Arial"/>
        </w:rPr>
      </w:pPr>
    </w:p>
    <w:p w:rsidR="003E6A45" w:rsidRPr="00695A2F" w:rsidRDefault="00A10662" w:rsidP="00EA6A24">
      <w:pPr>
        <w:rPr>
          <w:rFonts w:cs="Arial"/>
        </w:rPr>
      </w:pPr>
      <w:r w:rsidRPr="00695A2F">
        <w:rPr>
          <w:rFonts w:cs="Arial"/>
        </w:rPr>
        <w:t xml:space="preserve">The Fund's Actuary, Mercer, </w:t>
      </w:r>
      <w:r w:rsidR="00DF3F7E" w:rsidRPr="00695A2F">
        <w:rPr>
          <w:rFonts w:cs="Arial"/>
        </w:rPr>
        <w:t>and individual employers, have</w:t>
      </w:r>
      <w:r w:rsidRPr="00695A2F">
        <w:rPr>
          <w:rFonts w:cs="Arial"/>
        </w:rPr>
        <w:t xml:space="preserve"> been consulted on the details of the </w:t>
      </w:r>
      <w:proofErr w:type="spellStart"/>
      <w:r w:rsidRPr="00695A2F">
        <w:rPr>
          <w:rFonts w:cs="Arial"/>
        </w:rPr>
        <w:t>FSS</w:t>
      </w:r>
      <w:proofErr w:type="spellEnd"/>
      <w:r w:rsidRPr="00695A2F">
        <w:rPr>
          <w:rFonts w:cs="Arial"/>
        </w:rPr>
        <w:t>.</w:t>
      </w:r>
    </w:p>
    <w:p w:rsidR="003E6A45" w:rsidRPr="00695A2F" w:rsidRDefault="003E6A45" w:rsidP="00482034">
      <w:pPr>
        <w:spacing w:line="276" w:lineRule="auto"/>
        <w:rPr>
          <w:rFonts w:cs="Arial"/>
        </w:rPr>
      </w:pPr>
    </w:p>
    <w:p w:rsidR="00772BBA" w:rsidRPr="00695A2F" w:rsidRDefault="003E6A45" w:rsidP="00482034">
      <w:pPr>
        <w:spacing w:line="276" w:lineRule="auto"/>
        <w:rPr>
          <w:rFonts w:cs="Arial"/>
        </w:rPr>
      </w:pPr>
      <w:r w:rsidRPr="00695A2F">
        <w:rPr>
          <w:rFonts w:cs="Arial"/>
          <w:b/>
        </w:rPr>
        <w:t>Implications</w:t>
      </w:r>
      <w:r w:rsidRPr="00695A2F">
        <w:rPr>
          <w:rFonts w:cs="Arial"/>
        </w:rPr>
        <w:t xml:space="preserve">: </w:t>
      </w:r>
    </w:p>
    <w:p w:rsidR="00772BBA" w:rsidRPr="00695A2F" w:rsidRDefault="00772BBA" w:rsidP="00482034">
      <w:pPr>
        <w:spacing w:line="276" w:lineRule="auto"/>
        <w:rPr>
          <w:rFonts w:cs="Arial"/>
        </w:rPr>
      </w:pPr>
    </w:p>
    <w:p w:rsidR="00772BBA" w:rsidRPr="00695A2F" w:rsidRDefault="00772BBA" w:rsidP="00482034">
      <w:pPr>
        <w:spacing w:line="276" w:lineRule="auto"/>
        <w:rPr>
          <w:rFonts w:cs="Arial"/>
        </w:rPr>
      </w:pPr>
      <w:r w:rsidRPr="00695A2F">
        <w:rPr>
          <w:rFonts w:cs="Arial"/>
        </w:rPr>
        <w:t>This item has the following implications, as indicated:</w:t>
      </w:r>
    </w:p>
    <w:p w:rsidR="009B61F1" w:rsidRPr="00695A2F" w:rsidRDefault="009B61F1" w:rsidP="00482034">
      <w:pPr>
        <w:spacing w:line="276" w:lineRule="auto"/>
        <w:rPr>
          <w:rFonts w:cs="Arial"/>
          <w:b/>
        </w:rPr>
      </w:pPr>
    </w:p>
    <w:p w:rsidR="00772BBA" w:rsidRPr="00695A2F" w:rsidRDefault="00772BBA" w:rsidP="00482034">
      <w:pPr>
        <w:spacing w:line="276" w:lineRule="auto"/>
        <w:rPr>
          <w:rFonts w:cs="Arial"/>
          <w:b/>
        </w:rPr>
      </w:pPr>
      <w:r w:rsidRPr="00695A2F">
        <w:rPr>
          <w:rFonts w:cs="Arial"/>
          <w:b/>
        </w:rPr>
        <w:t>Risk management</w:t>
      </w:r>
    </w:p>
    <w:p w:rsidR="00772BBA" w:rsidRDefault="00772BBA" w:rsidP="00482034">
      <w:pPr>
        <w:spacing w:line="276" w:lineRule="auto"/>
        <w:rPr>
          <w:rFonts w:cs="Arial"/>
        </w:rPr>
      </w:pPr>
    </w:p>
    <w:p w:rsidR="00772BBA" w:rsidRPr="00EA6A24" w:rsidRDefault="00DF3F7E" w:rsidP="00482034">
      <w:pPr>
        <w:spacing w:line="276" w:lineRule="auto"/>
        <w:rPr>
          <w:rFonts w:cs="Arial"/>
          <w:b/>
        </w:rPr>
      </w:pPr>
      <w:r w:rsidRPr="00EA6A24">
        <w:rPr>
          <w:rFonts w:cs="Arial"/>
          <w:b/>
        </w:rPr>
        <w:t>Legal</w:t>
      </w:r>
    </w:p>
    <w:p w:rsidR="00DF3F7E" w:rsidRPr="00695A2F" w:rsidRDefault="00DF3F7E" w:rsidP="00482034">
      <w:pPr>
        <w:spacing w:line="276" w:lineRule="auto"/>
        <w:rPr>
          <w:rFonts w:cs="Arial"/>
        </w:rPr>
      </w:pPr>
    </w:p>
    <w:p w:rsidR="00DF3F7E" w:rsidRPr="00695A2F" w:rsidRDefault="00DF3F7E" w:rsidP="00482034">
      <w:pPr>
        <w:spacing w:line="276" w:lineRule="auto"/>
        <w:rPr>
          <w:rFonts w:cs="Arial"/>
        </w:rPr>
      </w:pPr>
      <w:proofErr w:type="gramStart"/>
      <w:r w:rsidRPr="00695A2F">
        <w:rPr>
          <w:rFonts w:cs="Arial"/>
        </w:rPr>
        <w:t>Non-compliance with statutory regulation.</w:t>
      </w:r>
      <w:proofErr w:type="gramEnd"/>
    </w:p>
    <w:p w:rsidR="003E6A45" w:rsidRPr="00695A2F" w:rsidRDefault="003E6A45" w:rsidP="00482034">
      <w:pPr>
        <w:pStyle w:val="Heading5"/>
        <w:spacing w:line="276" w:lineRule="auto"/>
        <w:rPr>
          <w:rFonts w:ascii="Arial" w:hAnsi="Arial" w:cs="Arial"/>
        </w:rPr>
      </w:pPr>
    </w:p>
    <w:p w:rsidR="003E6A45" w:rsidRPr="00695A2F" w:rsidRDefault="003E6A45">
      <w:pPr>
        <w:pStyle w:val="Heading5"/>
        <w:rPr>
          <w:rFonts w:ascii="Arial" w:hAnsi="Arial" w:cs="Arial"/>
          <w:u w:val="none"/>
        </w:rPr>
      </w:pPr>
      <w:r w:rsidRPr="00695A2F">
        <w:rPr>
          <w:rFonts w:ascii="Arial" w:hAnsi="Arial" w:cs="Arial"/>
          <w:u w:val="none"/>
        </w:rPr>
        <w:t>Local Government (Access to Information) Act 1985</w:t>
      </w:r>
    </w:p>
    <w:p w:rsidR="003E6A45" w:rsidRPr="00695A2F" w:rsidRDefault="003E6A45">
      <w:pPr>
        <w:pStyle w:val="Heading5"/>
        <w:rPr>
          <w:rFonts w:ascii="Arial" w:hAnsi="Arial" w:cs="Arial"/>
          <w:u w:val="none"/>
        </w:rPr>
      </w:pPr>
      <w:r w:rsidRPr="00695A2F">
        <w:rPr>
          <w:rFonts w:ascii="Arial" w:hAnsi="Arial" w:cs="Arial"/>
          <w:u w:val="none"/>
        </w:rPr>
        <w:t>List of Background Papers</w:t>
      </w:r>
    </w:p>
    <w:p w:rsidR="003E6A45" w:rsidRPr="00695A2F" w:rsidRDefault="003E6A45">
      <w:pPr>
        <w:rPr>
          <w:rFonts w:cs="Arial"/>
        </w:rPr>
      </w:pPr>
    </w:p>
    <w:tbl>
      <w:tblPr>
        <w:tblW w:w="0" w:type="auto"/>
        <w:tblLayout w:type="fixed"/>
        <w:tblLook w:val="000C"/>
      </w:tblPr>
      <w:tblGrid>
        <w:gridCol w:w="3227"/>
        <w:gridCol w:w="2775"/>
        <w:gridCol w:w="3178"/>
      </w:tblGrid>
      <w:tr w:rsidR="003E6A45" w:rsidRPr="00695A2F">
        <w:tc>
          <w:tcPr>
            <w:tcW w:w="3227" w:type="dxa"/>
          </w:tcPr>
          <w:p w:rsidR="003E6A45" w:rsidRPr="00695A2F" w:rsidRDefault="003E6A45">
            <w:pPr>
              <w:pStyle w:val="Heading7"/>
              <w:rPr>
                <w:rFonts w:ascii="Arial" w:hAnsi="Arial" w:cs="Arial"/>
                <w:u w:val="none"/>
              </w:rPr>
            </w:pPr>
            <w:r w:rsidRPr="00695A2F">
              <w:rPr>
                <w:rFonts w:ascii="Arial" w:hAnsi="Arial" w:cs="Arial"/>
                <w:u w:val="none"/>
              </w:rPr>
              <w:t>Paper</w:t>
            </w:r>
          </w:p>
        </w:tc>
        <w:tc>
          <w:tcPr>
            <w:tcW w:w="2775" w:type="dxa"/>
          </w:tcPr>
          <w:p w:rsidR="003E6A45" w:rsidRPr="00695A2F" w:rsidRDefault="003E6A45">
            <w:pPr>
              <w:pStyle w:val="Heading7"/>
              <w:rPr>
                <w:rFonts w:ascii="Arial" w:hAnsi="Arial" w:cs="Arial"/>
                <w:u w:val="none"/>
              </w:rPr>
            </w:pPr>
            <w:r w:rsidRPr="00695A2F">
              <w:rPr>
                <w:rFonts w:ascii="Arial" w:hAnsi="Arial" w:cs="Arial"/>
                <w:u w:val="none"/>
              </w:rPr>
              <w:t>Date</w:t>
            </w:r>
          </w:p>
        </w:tc>
        <w:tc>
          <w:tcPr>
            <w:tcW w:w="3178" w:type="dxa"/>
          </w:tcPr>
          <w:p w:rsidR="003E6A45" w:rsidRPr="00695A2F" w:rsidRDefault="003E6A45">
            <w:pPr>
              <w:pStyle w:val="Heading7"/>
              <w:rPr>
                <w:rFonts w:ascii="Arial" w:hAnsi="Arial" w:cs="Arial"/>
                <w:u w:val="none"/>
              </w:rPr>
            </w:pPr>
            <w:r w:rsidRPr="00695A2F">
              <w:rPr>
                <w:rFonts w:ascii="Arial" w:hAnsi="Arial" w:cs="Arial"/>
                <w:u w:val="none"/>
              </w:rPr>
              <w:t>Contact/Directorate/</w:t>
            </w:r>
            <w:r w:rsidR="00772BBA" w:rsidRPr="00695A2F">
              <w:rPr>
                <w:rFonts w:ascii="Arial" w:hAnsi="Arial" w:cs="Arial"/>
                <w:u w:val="none"/>
              </w:rPr>
              <w:t>Tel</w:t>
            </w:r>
          </w:p>
        </w:tc>
      </w:tr>
      <w:tr w:rsidR="003E6A45" w:rsidRPr="00695A2F">
        <w:tc>
          <w:tcPr>
            <w:tcW w:w="3227" w:type="dxa"/>
          </w:tcPr>
          <w:p w:rsidR="003E6A45" w:rsidRPr="00695A2F" w:rsidRDefault="003E6A45">
            <w:pPr>
              <w:pStyle w:val="Heading7"/>
              <w:rPr>
                <w:rFonts w:ascii="Arial" w:hAnsi="Arial" w:cs="Arial"/>
                <w:u w:val="none"/>
              </w:rPr>
            </w:pPr>
          </w:p>
          <w:p w:rsidR="003E6A45" w:rsidRPr="00695A2F" w:rsidRDefault="00DF3F7E">
            <w:pPr>
              <w:rPr>
                <w:rFonts w:cs="Arial"/>
              </w:rPr>
            </w:pPr>
            <w:r w:rsidRPr="00695A2F">
              <w:rPr>
                <w:rFonts w:cs="Arial"/>
              </w:rPr>
              <w:t>Local Government Pension Scheme (Administration) Regulations 2008</w:t>
            </w:r>
          </w:p>
          <w:p w:rsidR="00DF3F7E" w:rsidRDefault="00DF3F7E">
            <w:pPr>
              <w:rPr>
                <w:rFonts w:cs="Arial"/>
              </w:rPr>
            </w:pPr>
          </w:p>
          <w:p w:rsidR="00695A2F" w:rsidRDefault="00695A2F" w:rsidP="00695A2F">
            <w:pPr>
              <w:autoSpaceDE w:val="0"/>
              <w:autoSpaceDN w:val="0"/>
              <w:adjustRightInd w:val="0"/>
              <w:rPr>
                <w:rFonts w:ascii="TT20F141o00" w:hAnsi="TT20F141o00" w:cs="TT20F141o00"/>
                <w:szCs w:val="24"/>
              </w:rPr>
            </w:pPr>
            <w:r>
              <w:rPr>
                <w:rFonts w:ascii="TT20F141o00" w:hAnsi="TT20F141o00" w:cs="TT20F141o00"/>
                <w:szCs w:val="24"/>
              </w:rPr>
              <w:t>Statutory Instrument 2009</w:t>
            </w:r>
          </w:p>
          <w:p w:rsidR="00695A2F" w:rsidRDefault="00695A2F" w:rsidP="00695A2F">
            <w:pPr>
              <w:autoSpaceDE w:val="0"/>
              <w:autoSpaceDN w:val="0"/>
              <w:adjustRightInd w:val="0"/>
              <w:rPr>
                <w:rFonts w:cs="Arial"/>
              </w:rPr>
            </w:pPr>
            <w:proofErr w:type="spellStart"/>
            <w:r>
              <w:rPr>
                <w:rFonts w:ascii="TT20F141o00" w:hAnsi="TT20F141o00" w:cs="TT20F141o00"/>
                <w:szCs w:val="24"/>
              </w:rPr>
              <w:t>No.3093</w:t>
            </w:r>
            <w:proofErr w:type="spellEnd"/>
            <w:r>
              <w:rPr>
                <w:rFonts w:ascii="TT20F141o00" w:hAnsi="TT20F141o00" w:cs="TT20F141o00"/>
                <w:szCs w:val="24"/>
              </w:rPr>
              <w:t xml:space="preserve"> – Local Government Pension Scheme (Management and Investment of Funds) Regulations 2009</w:t>
            </w:r>
          </w:p>
          <w:p w:rsidR="00DF3F7E" w:rsidRPr="00695A2F" w:rsidRDefault="00DF3F7E">
            <w:pPr>
              <w:rPr>
                <w:rFonts w:cs="Arial"/>
              </w:rPr>
            </w:pPr>
          </w:p>
        </w:tc>
        <w:tc>
          <w:tcPr>
            <w:tcW w:w="2775" w:type="dxa"/>
          </w:tcPr>
          <w:p w:rsidR="003E6A45" w:rsidRPr="00695A2F" w:rsidRDefault="003E6A45">
            <w:pPr>
              <w:pStyle w:val="Heading7"/>
              <w:rPr>
                <w:rFonts w:ascii="Arial" w:hAnsi="Arial" w:cs="Arial"/>
                <w:u w:val="none"/>
              </w:rPr>
            </w:pPr>
          </w:p>
          <w:p w:rsidR="003E6A45" w:rsidRDefault="00DF3F7E">
            <w:pPr>
              <w:rPr>
                <w:rFonts w:cs="Arial"/>
              </w:rPr>
            </w:pPr>
            <w:r w:rsidRPr="00695A2F">
              <w:rPr>
                <w:rFonts w:cs="Arial"/>
              </w:rPr>
              <w:t>2008</w:t>
            </w:r>
          </w:p>
          <w:p w:rsidR="00695A2F" w:rsidRDefault="00695A2F">
            <w:pPr>
              <w:rPr>
                <w:rFonts w:cs="Arial"/>
              </w:rPr>
            </w:pPr>
          </w:p>
          <w:p w:rsidR="00695A2F" w:rsidRDefault="00695A2F">
            <w:pPr>
              <w:rPr>
                <w:rFonts w:cs="Arial"/>
              </w:rPr>
            </w:pPr>
          </w:p>
          <w:p w:rsidR="00695A2F" w:rsidRDefault="00695A2F">
            <w:pPr>
              <w:rPr>
                <w:rFonts w:cs="Arial"/>
              </w:rPr>
            </w:pPr>
          </w:p>
          <w:p w:rsidR="00695A2F" w:rsidRPr="00695A2F" w:rsidRDefault="00695A2F">
            <w:pPr>
              <w:rPr>
                <w:rFonts w:cs="Arial"/>
              </w:rPr>
            </w:pPr>
            <w:r>
              <w:rPr>
                <w:rFonts w:cs="Arial"/>
              </w:rPr>
              <w:t>2009</w:t>
            </w:r>
          </w:p>
        </w:tc>
        <w:tc>
          <w:tcPr>
            <w:tcW w:w="3178" w:type="dxa"/>
          </w:tcPr>
          <w:p w:rsidR="003E6A45" w:rsidRPr="00695A2F" w:rsidRDefault="003E6A45">
            <w:pPr>
              <w:rPr>
                <w:rFonts w:cs="Arial"/>
              </w:rPr>
            </w:pPr>
          </w:p>
          <w:p w:rsidR="003E6A45" w:rsidRDefault="00DF3F7E">
            <w:pPr>
              <w:rPr>
                <w:rFonts w:cs="Arial"/>
              </w:rPr>
            </w:pPr>
            <w:r w:rsidRPr="00695A2F">
              <w:rPr>
                <w:rFonts w:cs="Arial"/>
              </w:rPr>
              <w:t>Andrew Fox/ County Treasurer's Directorate/ 35916</w:t>
            </w:r>
          </w:p>
          <w:p w:rsidR="00695A2F" w:rsidRDefault="00695A2F">
            <w:pPr>
              <w:rPr>
                <w:rFonts w:cs="Arial"/>
              </w:rPr>
            </w:pPr>
          </w:p>
          <w:p w:rsidR="00695A2F" w:rsidRDefault="00695A2F" w:rsidP="00695A2F">
            <w:pPr>
              <w:rPr>
                <w:rFonts w:cs="Arial"/>
              </w:rPr>
            </w:pPr>
            <w:r w:rsidRPr="00695A2F">
              <w:rPr>
                <w:rFonts w:cs="Arial"/>
              </w:rPr>
              <w:t>Andrew Fox/ County Treasurer's Directorate/ 35916</w:t>
            </w:r>
          </w:p>
          <w:p w:rsidR="00695A2F" w:rsidRPr="00695A2F" w:rsidRDefault="00695A2F">
            <w:pPr>
              <w:rPr>
                <w:rFonts w:cs="Arial"/>
              </w:rPr>
            </w:pPr>
          </w:p>
          <w:p w:rsidR="003E6A45" w:rsidRPr="00695A2F" w:rsidRDefault="003E6A45">
            <w:pPr>
              <w:rPr>
                <w:rFonts w:cs="Arial"/>
              </w:rPr>
            </w:pPr>
          </w:p>
        </w:tc>
      </w:tr>
      <w:tr w:rsidR="003E6A45" w:rsidRPr="00695A2F">
        <w:tc>
          <w:tcPr>
            <w:tcW w:w="9180" w:type="dxa"/>
            <w:gridSpan w:val="3"/>
          </w:tcPr>
          <w:p w:rsidR="003E6A45" w:rsidRPr="00695A2F" w:rsidRDefault="003E6A45">
            <w:pPr>
              <w:rPr>
                <w:rFonts w:cs="Arial"/>
              </w:rPr>
            </w:pPr>
            <w:r w:rsidRPr="00695A2F">
              <w:rPr>
                <w:rFonts w:cs="Arial"/>
              </w:rPr>
              <w:t>Reason for inclusion in Part II, if appropriate</w:t>
            </w:r>
          </w:p>
          <w:p w:rsidR="003E6A45" w:rsidRPr="00695A2F" w:rsidRDefault="003E6A45">
            <w:pPr>
              <w:rPr>
                <w:rFonts w:cs="Arial"/>
              </w:rPr>
            </w:pPr>
          </w:p>
          <w:p w:rsidR="003E6A45" w:rsidRPr="00695A2F" w:rsidRDefault="00DF3F7E">
            <w:pPr>
              <w:rPr>
                <w:rFonts w:cs="Arial"/>
              </w:rPr>
            </w:pPr>
            <w:r w:rsidRPr="00695A2F">
              <w:rPr>
                <w:rFonts w:cs="Arial"/>
              </w:rPr>
              <w:t>N/A</w:t>
            </w:r>
          </w:p>
          <w:p w:rsidR="003E6A45" w:rsidRPr="00695A2F" w:rsidRDefault="003E6A45">
            <w:pPr>
              <w:rPr>
                <w:rFonts w:cs="Arial"/>
              </w:rPr>
            </w:pPr>
          </w:p>
        </w:tc>
      </w:tr>
    </w:tbl>
    <w:p w:rsidR="003E6A45" w:rsidRPr="00695A2F" w:rsidRDefault="003E6A45">
      <w:pPr>
        <w:rPr>
          <w:rFonts w:cs="Arial"/>
        </w:rPr>
      </w:pPr>
    </w:p>
    <w:p w:rsidR="00695A2F" w:rsidRPr="00695A2F" w:rsidRDefault="00695A2F">
      <w:pPr>
        <w:rPr>
          <w:rFonts w:cs="Arial"/>
        </w:rPr>
      </w:pPr>
    </w:p>
    <w:sectPr w:rsidR="00695A2F" w:rsidRPr="00695A2F" w:rsidSect="00EF61D1">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23" w:rsidRDefault="00BA3C23">
      <w:r>
        <w:separator/>
      </w:r>
    </w:p>
  </w:endnote>
  <w:endnote w:type="continuationSeparator" w:id="0">
    <w:p w:rsidR="00BA3C23" w:rsidRDefault="00BA3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TT20F141o00">
    <w:panose1 w:val="00000000000000000000"/>
    <w:charset w:val="00"/>
    <w:family w:val="auto"/>
    <w:notTrueType/>
    <w:pitch w:val="default"/>
    <w:sig w:usb0="00000003" w:usb1="00000000" w:usb2="00000000" w:usb3="00000000" w:csb0="00000001" w:csb1="00000000"/>
  </w:font>
  <w:font w:name="TT1915D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T1915E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95A2F">
      <w:tc>
        <w:tcPr>
          <w:tcW w:w="9243" w:type="dxa"/>
          <w:tcBorders>
            <w:top w:val="nil"/>
            <w:left w:val="nil"/>
            <w:bottom w:val="nil"/>
            <w:right w:val="nil"/>
          </w:tcBorders>
        </w:tcPr>
        <w:p w:rsidR="00695A2F" w:rsidRDefault="00695A2F">
          <w:pPr>
            <w:pStyle w:val="Footer"/>
            <w:tabs>
              <w:tab w:val="clear" w:pos="4153"/>
            </w:tabs>
            <w:ind w:right="-45"/>
            <w:jc w:val="right"/>
          </w:pPr>
        </w:p>
      </w:tc>
    </w:tr>
  </w:tbl>
  <w:p w:rsidR="00695A2F" w:rsidRDefault="00695A2F">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95A2F">
      <w:tc>
        <w:tcPr>
          <w:tcW w:w="9243" w:type="dxa"/>
          <w:tcBorders>
            <w:top w:val="nil"/>
            <w:left w:val="nil"/>
            <w:bottom w:val="nil"/>
            <w:right w:val="nil"/>
          </w:tcBorders>
        </w:tcPr>
        <w:p w:rsidR="00695A2F" w:rsidRDefault="00FD6F55">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695A2F" w:rsidRDefault="00695A2F">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23" w:rsidRDefault="00BA3C23">
      <w:r>
        <w:separator/>
      </w:r>
    </w:p>
  </w:footnote>
  <w:footnote w:type="continuationSeparator" w:id="0">
    <w:p w:rsidR="00BA3C23" w:rsidRDefault="00BA3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F84"/>
    <w:multiLevelType w:val="multilevel"/>
    <w:tmpl w:val="DE32E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4"/>
      <w:numFmt w:val="decimal"/>
      <w:lvlText w:val="%3%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976F7D"/>
    <w:multiLevelType w:val="multilevel"/>
    <w:tmpl w:val="9FEE1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C6668A"/>
    <w:multiLevelType w:val="hybridMultilevel"/>
    <w:tmpl w:val="270AED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92755F"/>
    <w:multiLevelType w:val="hybridMultilevel"/>
    <w:tmpl w:val="13423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2B9D662C"/>
    <w:multiLevelType w:val="multilevel"/>
    <w:tmpl w:val="0CA8DFB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EB08A8"/>
    <w:multiLevelType w:val="hybridMultilevel"/>
    <w:tmpl w:val="844CDCD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085201"/>
    <w:multiLevelType w:val="hybridMultilevel"/>
    <w:tmpl w:val="85822E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49C55F6D"/>
    <w:multiLevelType w:val="hybridMultilevel"/>
    <w:tmpl w:val="4A9A88C4"/>
    <w:lvl w:ilvl="0" w:tplc="54B2A2F2">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0B5262"/>
    <w:multiLevelType w:val="multilevel"/>
    <w:tmpl w:val="9DCAC1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3E80709"/>
    <w:multiLevelType w:val="multilevel"/>
    <w:tmpl w:val="C3DC66AE"/>
    <w:lvl w:ilvl="0">
      <w:start w:val="1"/>
      <w:numFmt w:val="decimal"/>
      <w:lvlText w:val="%1."/>
      <w:lvlJc w:val="left"/>
      <w:pPr>
        <w:tabs>
          <w:tab w:val="num" w:pos="1080"/>
        </w:tabs>
        <w:ind w:left="1080" w:hanging="360"/>
      </w:p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69E0138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nsid w:val="6A14487B"/>
    <w:multiLevelType w:val="hybridMultilevel"/>
    <w:tmpl w:val="D8AA91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70E84962"/>
    <w:multiLevelType w:val="multilevel"/>
    <w:tmpl w:val="AC388C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1"/>
  </w:num>
  <w:num w:numId="3">
    <w:abstractNumId w:val="6"/>
  </w:num>
  <w:num w:numId="4">
    <w:abstractNumId w:val="9"/>
  </w:num>
  <w:num w:numId="5">
    <w:abstractNumId w:val="4"/>
  </w:num>
  <w:num w:numId="6">
    <w:abstractNumId w:val="12"/>
  </w:num>
  <w:num w:numId="7">
    <w:abstractNumId w:val="8"/>
  </w:num>
  <w:num w:numId="8">
    <w:abstractNumId w:val="2"/>
  </w:num>
  <w:num w:numId="9">
    <w:abstractNumId w:val="7"/>
  </w:num>
  <w:num w:numId="10">
    <w:abstractNumId w:val="1"/>
  </w:num>
  <w:num w:numId="11">
    <w:abstractNumId w:val="0"/>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3E6A45"/>
    <w:rsid w:val="00017C10"/>
    <w:rsid w:val="00054ACF"/>
    <w:rsid w:val="00113FCB"/>
    <w:rsid w:val="001D41EF"/>
    <w:rsid w:val="001E1716"/>
    <w:rsid w:val="001F6ED2"/>
    <w:rsid w:val="0028461B"/>
    <w:rsid w:val="002B11AF"/>
    <w:rsid w:val="00354CAC"/>
    <w:rsid w:val="00357954"/>
    <w:rsid w:val="003C286B"/>
    <w:rsid w:val="003D5EAE"/>
    <w:rsid w:val="003E6A45"/>
    <w:rsid w:val="0044710C"/>
    <w:rsid w:val="00455090"/>
    <w:rsid w:val="00482034"/>
    <w:rsid w:val="004D372F"/>
    <w:rsid w:val="00533B69"/>
    <w:rsid w:val="00581BB4"/>
    <w:rsid w:val="0059721A"/>
    <w:rsid w:val="005D7C5B"/>
    <w:rsid w:val="00621B00"/>
    <w:rsid w:val="00695A2F"/>
    <w:rsid w:val="006C2998"/>
    <w:rsid w:val="006E70C9"/>
    <w:rsid w:val="00742E91"/>
    <w:rsid w:val="00772BBA"/>
    <w:rsid w:val="007833B3"/>
    <w:rsid w:val="007C56D1"/>
    <w:rsid w:val="007E7A9F"/>
    <w:rsid w:val="00881D81"/>
    <w:rsid w:val="008A5E88"/>
    <w:rsid w:val="008C5672"/>
    <w:rsid w:val="00966AF0"/>
    <w:rsid w:val="009B3418"/>
    <w:rsid w:val="009B61F1"/>
    <w:rsid w:val="00A10662"/>
    <w:rsid w:val="00A114B4"/>
    <w:rsid w:val="00A95BB1"/>
    <w:rsid w:val="00AB758C"/>
    <w:rsid w:val="00AC277D"/>
    <w:rsid w:val="00B2744B"/>
    <w:rsid w:val="00B33554"/>
    <w:rsid w:val="00B335AE"/>
    <w:rsid w:val="00B6519E"/>
    <w:rsid w:val="00B67789"/>
    <w:rsid w:val="00BA3C23"/>
    <w:rsid w:val="00BB08CC"/>
    <w:rsid w:val="00BF1C96"/>
    <w:rsid w:val="00C20DC0"/>
    <w:rsid w:val="00C20EB1"/>
    <w:rsid w:val="00CD5239"/>
    <w:rsid w:val="00D52B8F"/>
    <w:rsid w:val="00D55ED0"/>
    <w:rsid w:val="00DF3F7E"/>
    <w:rsid w:val="00EA45E5"/>
    <w:rsid w:val="00EA6A24"/>
    <w:rsid w:val="00EF61D1"/>
    <w:rsid w:val="00F02FF7"/>
    <w:rsid w:val="00F75B7E"/>
    <w:rsid w:val="00F861F0"/>
    <w:rsid w:val="00FD0946"/>
    <w:rsid w:val="00FD6F55"/>
    <w:rsid w:val="00FE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D1"/>
    <w:rPr>
      <w:rFonts w:ascii="Arial" w:hAnsi="Arial"/>
      <w:sz w:val="24"/>
    </w:rPr>
  </w:style>
  <w:style w:type="paragraph" w:styleId="Heading1">
    <w:name w:val="heading 1"/>
    <w:basedOn w:val="Normal"/>
    <w:next w:val="Normal"/>
    <w:qFormat/>
    <w:rsid w:val="00EF61D1"/>
    <w:pPr>
      <w:keepNext/>
      <w:outlineLvl w:val="0"/>
    </w:pPr>
    <w:rPr>
      <w:b/>
    </w:rPr>
  </w:style>
  <w:style w:type="paragraph" w:styleId="Heading5">
    <w:name w:val="heading 5"/>
    <w:basedOn w:val="Normal"/>
    <w:next w:val="Normal"/>
    <w:qFormat/>
    <w:rsid w:val="00EF61D1"/>
    <w:pPr>
      <w:keepNext/>
      <w:outlineLvl w:val="4"/>
    </w:pPr>
    <w:rPr>
      <w:rFonts w:ascii="Univers" w:hAnsi="Univers"/>
      <w:b/>
      <w:u w:val="single"/>
    </w:rPr>
  </w:style>
  <w:style w:type="paragraph" w:styleId="Heading6">
    <w:name w:val="heading 6"/>
    <w:basedOn w:val="Normal"/>
    <w:next w:val="Normal"/>
    <w:qFormat/>
    <w:rsid w:val="00EF61D1"/>
    <w:pPr>
      <w:keepNext/>
      <w:outlineLvl w:val="5"/>
    </w:pPr>
    <w:rPr>
      <w:rFonts w:ascii="Univers" w:hAnsi="Univers"/>
      <w:b/>
    </w:rPr>
  </w:style>
  <w:style w:type="paragraph" w:styleId="Heading7">
    <w:name w:val="heading 7"/>
    <w:basedOn w:val="Normal"/>
    <w:next w:val="Normal"/>
    <w:qFormat/>
    <w:rsid w:val="00EF61D1"/>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1D1"/>
  </w:style>
  <w:style w:type="paragraph" w:customStyle="1" w:styleId="arial11">
    <w:name w:val="arial11"/>
    <w:basedOn w:val="Normal"/>
    <w:rsid w:val="00EF61D1"/>
  </w:style>
  <w:style w:type="paragraph" w:styleId="BodyText">
    <w:name w:val="Body Text"/>
    <w:basedOn w:val="Normal"/>
    <w:rsid w:val="00EF61D1"/>
  </w:style>
  <w:style w:type="paragraph" w:styleId="Footer">
    <w:name w:val="footer"/>
    <w:basedOn w:val="Normal"/>
    <w:rsid w:val="00EF61D1"/>
    <w:pPr>
      <w:tabs>
        <w:tab w:val="center" w:pos="4153"/>
        <w:tab w:val="right" w:pos="8306"/>
      </w:tabs>
    </w:pPr>
  </w:style>
  <w:style w:type="character" w:styleId="PageNumber">
    <w:name w:val="page number"/>
    <w:basedOn w:val="DefaultParagraphFont"/>
    <w:rsid w:val="00EF61D1"/>
  </w:style>
  <w:style w:type="paragraph" w:styleId="BalloonText">
    <w:name w:val="Balloon Text"/>
    <w:basedOn w:val="Normal"/>
    <w:semiHidden/>
    <w:rsid w:val="00357954"/>
    <w:rPr>
      <w:rFonts w:ascii="Tahoma" w:hAnsi="Tahoma" w:cs="Tahoma"/>
      <w:sz w:val="16"/>
      <w:szCs w:val="16"/>
    </w:rPr>
  </w:style>
  <w:style w:type="paragraph" w:styleId="BodyTextIndent">
    <w:name w:val="Body Text Indent"/>
    <w:basedOn w:val="Normal"/>
    <w:link w:val="BodyTextIndentChar"/>
    <w:uiPriority w:val="99"/>
    <w:semiHidden/>
    <w:unhideWhenUsed/>
    <w:rsid w:val="00533B69"/>
    <w:pPr>
      <w:spacing w:after="120"/>
      <w:ind w:left="283"/>
    </w:pPr>
  </w:style>
  <w:style w:type="character" w:customStyle="1" w:styleId="BodyTextIndentChar">
    <w:name w:val="Body Text Indent Char"/>
    <w:basedOn w:val="DefaultParagraphFont"/>
    <w:link w:val="BodyTextIndent"/>
    <w:uiPriority w:val="99"/>
    <w:semiHidden/>
    <w:rsid w:val="00533B69"/>
    <w:rPr>
      <w:rFonts w:ascii="Arial" w:hAnsi="Arial"/>
      <w:sz w:val="24"/>
    </w:rPr>
  </w:style>
  <w:style w:type="paragraph" w:customStyle="1" w:styleId="Instructiontext">
    <w:name w:val="Instruction text"/>
    <w:basedOn w:val="Normal"/>
    <w:uiPriority w:val="2"/>
    <w:qFormat/>
    <w:rsid w:val="00D52B8F"/>
    <w:pPr>
      <w:autoSpaceDE w:val="0"/>
      <w:autoSpaceDN w:val="0"/>
      <w:adjustRightInd w:val="0"/>
      <w:jc w:val="both"/>
    </w:pPr>
    <w:rPr>
      <w:rFonts w:cs="Helvetica-Light"/>
      <w:i/>
      <w:color w:val="FF0000"/>
      <w:sz w:val="22"/>
      <w:szCs w:val="22"/>
    </w:rPr>
  </w:style>
  <w:style w:type="character" w:styleId="Hyperlink">
    <w:name w:val="Hyperlink"/>
    <w:basedOn w:val="DefaultParagraphFont"/>
    <w:uiPriority w:val="99"/>
    <w:unhideWhenUsed/>
    <w:rsid w:val="00BF1C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orge.graham@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8</TotalTime>
  <Pages>5</Pages>
  <Words>1551</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User</cp:lastModifiedBy>
  <cp:revision>4</cp:revision>
  <cp:lastPrinted>2002-09-23T11:55:00Z</cp:lastPrinted>
  <dcterms:created xsi:type="dcterms:W3CDTF">2014-03-10T11:45:00Z</dcterms:created>
  <dcterms:modified xsi:type="dcterms:W3CDTF">2014-03-10T12:33:00Z</dcterms:modified>
</cp:coreProperties>
</file>